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06A9B">
      <w:pPr>
        <w:pStyle w:val="11"/>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0"/>
        <w:rPr>
          <w:b/>
          <w:sz w:val="36"/>
          <w:highlight w:val="none"/>
        </w:rPr>
      </w:pPr>
      <w:bookmarkStart w:id="2" w:name="_GoBack"/>
      <w:bookmarkStart w:id="0" w:name="_Toc5723"/>
      <w:bookmarkStart w:id="1" w:name="_Toc30962"/>
      <w:r>
        <w:rPr>
          <w:b/>
          <w:sz w:val="36"/>
          <w:highlight w:val="none"/>
        </w:rPr>
        <w:t>第</w:t>
      </w:r>
      <w:r>
        <w:rPr>
          <w:rFonts w:hint="eastAsia"/>
          <w:b/>
          <w:sz w:val="36"/>
          <w:highlight w:val="none"/>
          <w:lang w:val="en-US" w:eastAsia="zh-CN"/>
        </w:rPr>
        <w:t>八</w:t>
      </w:r>
      <w:r>
        <w:rPr>
          <w:b/>
          <w:sz w:val="36"/>
          <w:highlight w:val="none"/>
        </w:rPr>
        <w:t>章</w:t>
      </w:r>
      <w:r>
        <w:rPr>
          <w:rFonts w:hint="eastAsia"/>
          <w:b/>
          <w:sz w:val="36"/>
          <w:highlight w:val="none"/>
          <w:lang w:val="en-US" w:eastAsia="zh-CN"/>
        </w:rPr>
        <w:t xml:space="preserve"> </w:t>
      </w:r>
      <w:r>
        <w:rPr>
          <w:b/>
          <w:sz w:val="36"/>
          <w:highlight w:val="none"/>
        </w:rPr>
        <w:t>拟签订采购合同文本</w:t>
      </w:r>
      <w:bookmarkEnd w:id="0"/>
      <w:bookmarkEnd w:id="1"/>
    </w:p>
    <w:bookmarkEnd w:id="2"/>
    <w:p w14:paraId="54BBF916">
      <w:pPr>
        <w:keepNext w:val="0"/>
        <w:keepLines w:val="0"/>
        <w:pageBreakBefore w:val="0"/>
        <w:tabs>
          <w:tab w:val="left" w:pos="735"/>
        </w:tabs>
        <w:wordWrap/>
        <w:overflowPunct/>
        <w:topLinePunct w:val="0"/>
        <w:autoSpaceDE w:val="0"/>
        <w:autoSpaceDN w:val="0"/>
        <w:bidi w:val="0"/>
        <w:adjustRightInd w:val="0"/>
        <w:snapToGrid w:val="0"/>
        <w:spacing w:line="360" w:lineRule="auto"/>
        <w:jc w:val="center"/>
        <w:rPr>
          <w:rFonts w:asciiTheme="minorEastAsia" w:hAnsiTheme="minorEastAsia" w:eastAsiaTheme="minorEastAsia" w:cstheme="minorEastAsia"/>
          <w:b/>
          <w:bCs/>
          <w:sz w:val="20"/>
          <w:highlight w:val="none"/>
          <w:lang w:val="zh-CN"/>
        </w:rPr>
      </w:pPr>
      <w:r>
        <w:rPr>
          <w:rFonts w:hint="eastAsia" w:asciiTheme="minorEastAsia" w:hAnsiTheme="minorEastAsia" w:eastAsiaTheme="minorEastAsia" w:cstheme="minorEastAsia"/>
          <w:b/>
          <w:sz w:val="20"/>
          <w:highlight w:val="none"/>
          <w:lang w:val="zh-CN"/>
        </w:rPr>
        <w:t>（此合同草案条款，最终签订的合同以采购人确定的合同内容为准）</w:t>
      </w:r>
    </w:p>
    <w:p w14:paraId="5F44377F">
      <w:pPr>
        <w:keepNext w:val="0"/>
        <w:keepLines w:val="0"/>
        <w:pageBreakBefore w:val="0"/>
        <w:wordWrap/>
        <w:overflowPunct/>
        <w:topLinePunct w:val="0"/>
        <w:bidi w:val="0"/>
        <w:adjustRightInd w:val="0"/>
        <w:snapToGrid w:val="0"/>
        <w:spacing w:line="360" w:lineRule="auto"/>
        <w:rPr>
          <w:rFonts w:hint="eastAsia" w:ascii="宋体" w:hAnsi="宋体" w:eastAsia="宋体" w:cs="宋体"/>
          <w:sz w:val="32"/>
          <w:szCs w:val="32"/>
          <w:lang w:eastAsia="zh-CN"/>
        </w:rPr>
      </w:pPr>
      <w:r>
        <w:rPr>
          <w:rFonts w:hint="eastAsia" w:ascii="宋体" w:hAnsi="宋体" w:eastAsia="宋体" w:cs="宋体"/>
          <w:b/>
          <w:bCs/>
          <w:sz w:val="32"/>
          <w:szCs w:val="32"/>
        </w:rPr>
        <w:t>合同编号：</w:t>
      </w:r>
    </w:p>
    <w:p w14:paraId="0651A6C9">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rPr>
      </w:pPr>
    </w:p>
    <w:p w14:paraId="1106B630">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rPr>
      </w:pPr>
    </w:p>
    <w:p w14:paraId="042326C2">
      <w:pPr>
        <w:pStyle w:val="7"/>
        <w:keepNext w:val="0"/>
        <w:keepLines w:val="0"/>
        <w:pageBreakBefore w:val="0"/>
        <w:wordWrap/>
        <w:overflowPunct/>
        <w:topLinePunct w:val="0"/>
        <w:bidi w:val="0"/>
        <w:adjustRightInd w:val="0"/>
        <w:snapToGrid w:val="0"/>
        <w:spacing w:before="0" w:beforeAutospacing="0" w:after="0" w:afterAutospacing="0" w:line="360" w:lineRule="auto"/>
        <w:jc w:val="center"/>
        <w:textAlignment w:val="baseline"/>
        <w:rPr>
          <w:rFonts w:hint="eastAsia" w:eastAsia="宋体"/>
          <w:b/>
          <w:bCs/>
          <w:sz w:val="48"/>
          <w:szCs w:val="48"/>
          <w:lang w:eastAsia="zh-CN"/>
        </w:rPr>
      </w:pPr>
      <w:r>
        <w:rPr>
          <w:rFonts w:hint="eastAsia"/>
          <w:b/>
          <w:bCs/>
          <w:sz w:val="48"/>
          <w:szCs w:val="48"/>
          <w:lang w:eastAsia="zh-CN"/>
        </w:rPr>
        <w:t>西安市第一医院</w:t>
      </w:r>
    </w:p>
    <w:p w14:paraId="4ABDA75A">
      <w:pPr>
        <w:pStyle w:val="7"/>
        <w:keepNext w:val="0"/>
        <w:keepLines w:val="0"/>
        <w:pageBreakBefore w:val="0"/>
        <w:wordWrap/>
        <w:overflowPunct/>
        <w:topLinePunct w:val="0"/>
        <w:bidi w:val="0"/>
        <w:adjustRightInd w:val="0"/>
        <w:snapToGrid w:val="0"/>
        <w:spacing w:before="0" w:beforeAutospacing="0" w:after="0" w:afterAutospacing="0" w:line="360" w:lineRule="auto"/>
        <w:jc w:val="center"/>
        <w:textAlignment w:val="baseline"/>
        <w:rPr>
          <w:rFonts w:hint="eastAsia"/>
          <w:b/>
          <w:bCs/>
          <w:sz w:val="48"/>
          <w:szCs w:val="48"/>
        </w:rPr>
      </w:pPr>
      <w:r>
        <w:rPr>
          <w:rFonts w:hint="eastAsia"/>
          <w:b/>
          <w:bCs/>
          <w:sz w:val="48"/>
          <w:szCs w:val="48"/>
        </w:rPr>
        <w:t>（</w:t>
      </w:r>
      <w:r>
        <w:rPr>
          <w:rFonts w:hint="eastAsia"/>
          <w:b/>
          <w:bCs/>
          <w:sz w:val="40"/>
          <w:szCs w:val="40"/>
        </w:rPr>
        <w:t>项目名称：</w:t>
      </w:r>
      <w:r>
        <w:rPr>
          <w:rFonts w:hint="eastAsia"/>
          <w:b/>
          <w:bCs/>
          <w:sz w:val="40"/>
          <w:szCs w:val="40"/>
          <w:lang w:eastAsia="zh-CN"/>
        </w:rPr>
        <w:t>医疗器械计量器具计量检定服务</w:t>
      </w:r>
      <w:r>
        <w:rPr>
          <w:rFonts w:hint="eastAsia"/>
          <w:b/>
          <w:bCs/>
          <w:sz w:val="48"/>
          <w:szCs w:val="48"/>
        </w:rPr>
        <w:t>）</w:t>
      </w:r>
    </w:p>
    <w:p w14:paraId="0DA8076E">
      <w:pPr>
        <w:keepNext w:val="0"/>
        <w:keepLines w:val="0"/>
        <w:pageBreakBefore w:val="0"/>
        <w:wordWrap/>
        <w:overflowPunct/>
        <w:topLinePunct w:val="0"/>
        <w:bidi w:val="0"/>
        <w:adjustRightInd w:val="0"/>
        <w:snapToGrid w:val="0"/>
        <w:spacing w:line="360" w:lineRule="auto"/>
        <w:ind w:left="2160"/>
        <w:rPr>
          <w:rFonts w:hint="eastAsia" w:ascii="宋体" w:hAnsi="宋体" w:eastAsia="宋体" w:cs="宋体"/>
          <w:b/>
          <w:bCs/>
          <w:sz w:val="72"/>
          <w:szCs w:val="72"/>
        </w:rPr>
      </w:pPr>
    </w:p>
    <w:p w14:paraId="536D37CF">
      <w:pPr>
        <w:keepNext w:val="0"/>
        <w:keepLines w:val="0"/>
        <w:pageBreakBefore w:val="0"/>
        <w:wordWrap/>
        <w:overflowPunct/>
        <w:topLinePunct w:val="0"/>
        <w:bidi w:val="0"/>
        <w:adjustRightInd w:val="0"/>
        <w:snapToGrid w:val="0"/>
        <w:spacing w:line="360" w:lineRule="auto"/>
        <w:ind w:firstLine="2891" w:firstLineChars="400"/>
        <w:rPr>
          <w:rFonts w:hint="eastAsia" w:ascii="宋体" w:hAnsi="宋体" w:eastAsia="宋体" w:cs="宋体"/>
          <w:b/>
          <w:bCs/>
          <w:sz w:val="72"/>
          <w:szCs w:val="72"/>
        </w:rPr>
      </w:pPr>
      <w:r>
        <w:rPr>
          <w:rFonts w:hint="eastAsia" w:ascii="宋体" w:hAnsi="宋体" w:eastAsia="宋体" w:cs="宋体"/>
          <w:b/>
          <w:bCs/>
          <w:sz w:val="72"/>
          <w:szCs w:val="72"/>
        </w:rPr>
        <w:t>服 务 合 同</w:t>
      </w:r>
    </w:p>
    <w:p w14:paraId="4FF4F3BD">
      <w:pPr>
        <w:pStyle w:val="7"/>
        <w:keepNext w:val="0"/>
        <w:keepLines w:val="0"/>
        <w:pageBreakBefore w:val="0"/>
        <w:wordWrap/>
        <w:overflowPunct/>
        <w:topLinePunct w:val="0"/>
        <w:bidi w:val="0"/>
        <w:adjustRightInd w:val="0"/>
        <w:snapToGrid w:val="0"/>
        <w:spacing w:before="0" w:beforeAutospacing="0" w:after="0" w:afterAutospacing="0" w:line="360" w:lineRule="auto"/>
        <w:jc w:val="center"/>
        <w:textAlignment w:val="baseline"/>
        <w:rPr>
          <w:rFonts w:hint="eastAsia"/>
          <w:b/>
          <w:bCs/>
          <w:sz w:val="48"/>
          <w:szCs w:val="48"/>
        </w:rPr>
      </w:pPr>
      <w:r>
        <w:rPr>
          <w:rFonts w:hint="eastAsia"/>
          <w:b/>
          <w:bCs/>
          <w:sz w:val="48"/>
          <w:szCs w:val="48"/>
        </w:rPr>
        <w:t>（</w:t>
      </w:r>
      <w:r>
        <w:rPr>
          <w:rFonts w:hint="eastAsia"/>
          <w:b/>
          <w:bCs/>
          <w:sz w:val="40"/>
          <w:szCs w:val="40"/>
        </w:rPr>
        <w:t>项目编号：</w:t>
      </w:r>
      <w:r>
        <w:rPr>
          <w:rFonts w:hint="eastAsia"/>
          <w:b/>
          <w:bCs/>
          <w:sz w:val="40"/>
          <w:szCs w:val="40"/>
          <w:lang w:val="en-US" w:eastAsia="zh-CN"/>
        </w:rPr>
        <w:t xml:space="preserve">         </w:t>
      </w:r>
      <w:r>
        <w:rPr>
          <w:rFonts w:hint="eastAsia"/>
          <w:b/>
          <w:bCs/>
          <w:sz w:val="48"/>
          <w:szCs w:val="48"/>
        </w:rPr>
        <w:t>）</w:t>
      </w:r>
    </w:p>
    <w:p w14:paraId="53A75D49">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rPr>
      </w:pPr>
    </w:p>
    <w:p w14:paraId="6994960A">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rPr>
      </w:pPr>
    </w:p>
    <w:p w14:paraId="6F6EF4D5">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rPr>
      </w:pPr>
    </w:p>
    <w:p w14:paraId="741D86FD">
      <w:pPr>
        <w:keepNext w:val="0"/>
        <w:keepLines w:val="0"/>
        <w:pageBreakBefore w:val="0"/>
        <w:wordWrap/>
        <w:overflowPunct/>
        <w:topLinePunct w:val="0"/>
        <w:bidi w:val="0"/>
        <w:adjustRightInd w:val="0"/>
        <w:snapToGrid w:val="0"/>
        <w:spacing w:line="360" w:lineRule="auto"/>
        <w:ind w:firstLine="2560" w:firstLineChars="800"/>
        <w:rPr>
          <w:rFonts w:hint="eastAsia" w:ascii="宋体" w:hAnsi="宋体" w:eastAsia="宋体" w:cs="宋体"/>
          <w:sz w:val="32"/>
          <w:szCs w:val="32"/>
          <w:lang w:eastAsia="zh-CN"/>
        </w:rPr>
      </w:pPr>
      <w:r>
        <w:rPr>
          <w:rFonts w:hint="eastAsia" w:ascii="宋体" w:hAnsi="宋体" w:eastAsia="宋体" w:cs="宋体"/>
          <w:sz w:val="32"/>
          <w:szCs w:val="32"/>
        </w:rPr>
        <w:t>甲  方：</w:t>
      </w:r>
      <w:r>
        <w:rPr>
          <w:rFonts w:hint="eastAsia" w:ascii="宋体" w:hAnsi="宋体" w:cs="宋体"/>
          <w:sz w:val="32"/>
          <w:szCs w:val="32"/>
          <w:lang w:eastAsia="zh-CN"/>
        </w:rPr>
        <w:t>西安市第一医院</w:t>
      </w:r>
    </w:p>
    <w:p w14:paraId="14DBF1EB">
      <w:pPr>
        <w:keepNext w:val="0"/>
        <w:keepLines w:val="0"/>
        <w:pageBreakBefore w:val="0"/>
        <w:wordWrap/>
        <w:overflowPunct/>
        <w:topLinePunct w:val="0"/>
        <w:bidi w:val="0"/>
        <w:adjustRightInd w:val="0"/>
        <w:snapToGrid w:val="0"/>
        <w:spacing w:line="360" w:lineRule="auto"/>
        <w:ind w:firstLine="2560" w:firstLineChars="800"/>
        <w:rPr>
          <w:rFonts w:hint="default" w:ascii="宋体" w:hAnsi="宋体" w:eastAsia="宋体" w:cs="宋体"/>
          <w:sz w:val="32"/>
          <w:szCs w:val="32"/>
          <w:lang w:val="en-US" w:eastAsia="zh-CN"/>
        </w:rPr>
      </w:pPr>
      <w:r>
        <w:rPr>
          <w:rFonts w:hint="eastAsia" w:ascii="宋体" w:hAnsi="宋体" w:eastAsia="宋体" w:cs="宋体"/>
          <w:sz w:val="32"/>
          <w:szCs w:val="32"/>
        </w:rPr>
        <w:t>乙  方：</w:t>
      </w:r>
    </w:p>
    <w:p w14:paraId="374E6BD3">
      <w:pPr>
        <w:pStyle w:val="8"/>
        <w:keepNext w:val="0"/>
        <w:keepLines w:val="0"/>
        <w:pageBreakBefore w:val="0"/>
        <w:wordWrap/>
        <w:overflowPunct/>
        <w:topLinePunct w:val="0"/>
        <w:bidi w:val="0"/>
        <w:adjustRightInd w:val="0"/>
        <w:snapToGrid w:val="0"/>
        <w:spacing w:line="360" w:lineRule="auto"/>
        <w:rPr>
          <w:rFonts w:hint="eastAsia" w:ascii="宋体" w:hAnsi="宋体" w:eastAsia="宋体" w:cs="宋体"/>
        </w:rPr>
      </w:pPr>
    </w:p>
    <w:p w14:paraId="4C8A7E11">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rPr>
      </w:pPr>
    </w:p>
    <w:p w14:paraId="6A6990D6">
      <w:pPr>
        <w:keepNext w:val="0"/>
        <w:keepLines w:val="0"/>
        <w:pageBreakBefore w:val="0"/>
        <w:wordWrap/>
        <w:overflowPunct/>
        <w:topLinePunct w:val="0"/>
        <w:bidi w:val="0"/>
        <w:adjustRightInd w:val="0"/>
        <w:snapToGrid w:val="0"/>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202</w:t>
      </w:r>
      <w:r>
        <w:rPr>
          <w:rFonts w:hint="eastAsia" w:ascii="宋体" w:hAnsi="宋体" w:cs="宋体"/>
          <w:b/>
          <w:bCs/>
          <w:sz w:val="32"/>
          <w:szCs w:val="32"/>
          <w:highlight w:val="none"/>
          <w:lang w:val="en-US" w:eastAsia="zh-CN"/>
        </w:rPr>
        <w:t>6</w:t>
      </w:r>
      <w:r>
        <w:rPr>
          <w:rFonts w:hint="eastAsia" w:ascii="宋体" w:hAnsi="宋体" w:eastAsia="宋体" w:cs="宋体"/>
          <w:b/>
          <w:bCs/>
          <w:sz w:val="32"/>
          <w:szCs w:val="32"/>
        </w:rPr>
        <w:t>年</w:t>
      </w:r>
      <w:r>
        <w:rPr>
          <w:rFonts w:hint="eastAsia" w:ascii="宋体" w:hAnsi="宋体" w:cs="宋体"/>
          <w:b/>
          <w:bCs/>
          <w:sz w:val="32"/>
          <w:szCs w:val="32"/>
          <w:lang w:val="en-US" w:eastAsia="zh-CN"/>
        </w:rPr>
        <w:t xml:space="preserve">  </w:t>
      </w:r>
      <w:r>
        <w:rPr>
          <w:rFonts w:hint="eastAsia" w:ascii="宋体" w:hAnsi="宋体" w:eastAsia="宋体" w:cs="宋体"/>
          <w:b/>
          <w:bCs/>
          <w:sz w:val="32"/>
          <w:szCs w:val="32"/>
        </w:rPr>
        <w:t>月</w:t>
      </w:r>
    </w:p>
    <w:p w14:paraId="36CFD763">
      <w:pPr>
        <w:keepNext w:val="0"/>
        <w:keepLines w:val="0"/>
        <w:pageBreakBefore w:val="0"/>
        <w:tabs>
          <w:tab w:val="left" w:pos="4300"/>
        </w:tabs>
        <w:wordWrap/>
        <w:overflowPunct/>
        <w:topLinePunct w:val="0"/>
        <w:bidi w:val="0"/>
        <w:adjustRightInd w:val="0"/>
        <w:snapToGrid w:val="0"/>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中国</w:t>
      </w:r>
      <w:r>
        <w:rPr>
          <w:rFonts w:hint="eastAsia" w:ascii="宋体" w:hAnsi="宋体" w:cs="宋体"/>
          <w:b/>
          <w:bCs/>
          <w:sz w:val="32"/>
          <w:szCs w:val="32"/>
          <w:lang w:val="en-US" w:eastAsia="zh-CN"/>
        </w:rPr>
        <w:t xml:space="preserve">   </w:t>
      </w:r>
      <w:r>
        <w:rPr>
          <w:rFonts w:hint="eastAsia" w:ascii="宋体" w:hAnsi="宋体" w:eastAsia="宋体" w:cs="宋体"/>
          <w:b/>
          <w:bCs/>
          <w:sz w:val="32"/>
          <w:szCs w:val="32"/>
        </w:rPr>
        <w:t>西安</w:t>
      </w:r>
    </w:p>
    <w:p w14:paraId="7EA6C7E9">
      <w:pPr>
        <w:keepNext w:val="0"/>
        <w:keepLines w:val="0"/>
        <w:pageBreakBefore w:val="0"/>
        <w:tabs>
          <w:tab w:val="left" w:pos="4300"/>
        </w:tabs>
        <w:wordWrap/>
        <w:overflowPunct/>
        <w:topLinePunct w:val="0"/>
        <w:bidi w:val="0"/>
        <w:adjustRightInd w:val="0"/>
        <w:snapToGrid w:val="0"/>
        <w:spacing w:line="360" w:lineRule="auto"/>
        <w:ind w:left="3360"/>
        <w:rPr>
          <w:rFonts w:hint="eastAsia" w:ascii="宋体" w:hAnsi="宋体" w:eastAsia="宋体" w:cs="宋体"/>
          <w:sz w:val="20"/>
        </w:rPr>
        <w:sectPr>
          <w:headerReference r:id="rId3" w:type="default"/>
          <w:pgSz w:w="11900" w:h="16840"/>
          <w:pgMar w:top="1440" w:right="1440" w:bottom="1440" w:left="1418" w:header="1020" w:footer="1020" w:gutter="0"/>
          <w:pgBorders>
            <w:top w:val="none" w:sz="0" w:space="0"/>
            <w:left w:val="none" w:sz="0" w:space="0"/>
            <w:bottom w:val="none" w:sz="0" w:space="0"/>
            <w:right w:val="none" w:sz="0" w:space="0"/>
          </w:pgBorders>
          <w:pgNumType w:fmt="decimal"/>
          <w:cols w:space="720" w:num="1"/>
          <w:titlePg/>
          <w:docGrid w:linePitch="286" w:charSpace="0"/>
        </w:sectPr>
      </w:pPr>
    </w:p>
    <w:p w14:paraId="415FF701">
      <w:pPr>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rPr>
        <w:t>合同编号：</w:t>
      </w:r>
    </w:p>
    <w:p w14:paraId="4A98889E">
      <w:pPr>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签订地点：西安市第一医院</w:t>
      </w:r>
    </w:p>
    <w:p w14:paraId="6C113B63">
      <w:pPr>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甲方：西安市第一医院</w:t>
      </w:r>
    </w:p>
    <w:p w14:paraId="4D1192DB">
      <w:pPr>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乙方： </w:t>
      </w:r>
    </w:p>
    <w:p w14:paraId="1027EF21">
      <w:pPr>
        <w:pStyle w:val="4"/>
        <w:keepNext w:val="0"/>
        <w:keepLines w:val="0"/>
        <w:pageBreakBefore w:val="0"/>
        <w:kinsoku/>
        <w:wordWrap/>
        <w:overflowPunct/>
        <w:topLinePunct w:val="0"/>
        <w:bidi w:val="0"/>
        <w:adjustRightInd/>
        <w:snapToGrid/>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乙方规模：  规模企业</w:t>
      </w:r>
    </w:p>
    <w:p w14:paraId="38687CB9">
      <w:pPr>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招标公司： </w:t>
      </w:r>
    </w:p>
    <w:p w14:paraId="426169B6">
      <w:pPr>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招标时间：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日  </w:t>
      </w:r>
    </w:p>
    <w:p w14:paraId="0DA98231">
      <w:pPr>
        <w:keepNext w:val="0"/>
        <w:keepLines w:val="0"/>
        <w:pageBreakBefore w:val="0"/>
        <w:kinsoku/>
        <w:wordWrap/>
        <w:overflowPunct/>
        <w:topLinePunct w:val="0"/>
        <w:bidi w:val="0"/>
        <w:adjustRightInd/>
        <w:snapToGrid/>
        <w:spacing w:line="360" w:lineRule="auto"/>
        <w:ind w:firstLine="241" w:firstLineChars="100"/>
        <w:jc w:val="left"/>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履约结束日期：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b/>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b/>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b/>
          <w:color w:val="000000"/>
          <w:sz w:val="24"/>
          <w:szCs w:val="24"/>
          <w:highlight w:val="none"/>
        </w:rPr>
        <w:t>日（可视验收具体情况向后顺延）</w:t>
      </w:r>
    </w:p>
    <w:p w14:paraId="0D321545">
      <w:pPr>
        <w:keepNext w:val="0"/>
        <w:keepLines w:val="0"/>
        <w:pageBreakBefore w:val="0"/>
        <w:kinsoku/>
        <w:wordWrap/>
        <w:overflowPunct/>
        <w:topLinePunct w:val="0"/>
        <w:bidi w:val="0"/>
        <w:adjustRightInd/>
        <w:snapToGrid/>
        <w:spacing w:before="0" w:after="0"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了贯彻执行《计量法》和省计量监督管理条例，满足甲方计量器具量值的传递或合理溯源，确保甲方在用计量器具得到及时检定和校准，满足甲方对产品质量控制、生产过程控制管理、贸易结算以及法制计量的需求，甲乙双方经过平等协商，依据《中华人民共和国民法典》、中标供应商投标(响应)文件正本、中标通知书等，达成以下条款。</w:t>
      </w:r>
    </w:p>
    <w:p w14:paraId="0E63513F">
      <w:pPr>
        <w:keepNext w:val="0"/>
        <w:keepLines w:val="0"/>
        <w:pageBreakBefore w:val="0"/>
        <w:kinsoku/>
        <w:wordWrap/>
        <w:overflowPunct/>
        <w:topLinePunct w:val="0"/>
        <w:bidi w:val="0"/>
        <w:adjustRightInd/>
        <w:snapToGrid/>
        <w:spacing w:before="0" w:after="0" w:line="360" w:lineRule="auto"/>
        <w:ind w:firstLine="482" w:firstLineChars="200"/>
        <w:jc w:val="left"/>
        <w:rPr>
          <w:rFonts w:hint="eastAsia" w:ascii="宋体" w:hAnsi="宋体" w:eastAsia="宋体" w:cs="宋体"/>
          <w:b/>
          <w:color w:val="000000"/>
          <w:sz w:val="24"/>
          <w:szCs w:val="24"/>
          <w:highlight w:val="none"/>
          <w:lang w:eastAsia="zh-CN"/>
        </w:rPr>
      </w:pPr>
      <w:r>
        <w:rPr>
          <w:rFonts w:hint="eastAsia" w:ascii="宋体" w:hAnsi="宋体" w:eastAsia="宋体" w:cs="宋体"/>
          <w:b/>
          <w:color w:val="000000"/>
          <w:sz w:val="24"/>
          <w:szCs w:val="24"/>
          <w:highlight w:val="none"/>
        </w:rPr>
        <w:t>一、检定设备内容</w:t>
      </w:r>
      <w:r>
        <w:rPr>
          <w:rFonts w:hint="eastAsia" w:ascii="宋体" w:hAnsi="宋体" w:eastAsia="宋体" w:cs="宋体"/>
          <w:b/>
          <w:color w:val="000000"/>
          <w:sz w:val="24"/>
          <w:szCs w:val="24"/>
          <w:highlight w:val="none"/>
          <w:lang w:eastAsia="zh-CN"/>
        </w:rPr>
        <w:t>（详见清单）</w:t>
      </w:r>
    </w:p>
    <w:tbl>
      <w:tblPr>
        <w:tblStyle w:val="9"/>
        <w:tblW w:w="903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4"/>
        <w:gridCol w:w="1152"/>
        <w:gridCol w:w="1298"/>
        <w:gridCol w:w="1459"/>
        <w:gridCol w:w="1517"/>
        <w:gridCol w:w="1246"/>
        <w:gridCol w:w="1430"/>
      </w:tblGrid>
      <w:tr w14:paraId="232C50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934" w:type="dxa"/>
            <w:tcBorders>
              <w:top w:val="single" w:color="auto" w:sz="4" w:space="0"/>
              <w:left w:val="single" w:color="auto" w:sz="4" w:space="0"/>
              <w:bottom w:val="single" w:color="auto" w:sz="4" w:space="0"/>
              <w:right w:val="single" w:color="auto" w:sz="4" w:space="0"/>
            </w:tcBorders>
            <w:noWrap w:val="0"/>
            <w:vAlign w:val="center"/>
          </w:tcPr>
          <w:p w14:paraId="40734CB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9"/>
                <w:sz w:val="24"/>
                <w:szCs w:val="24"/>
                <w:highlight w:val="none"/>
              </w:rPr>
              <w:t>序号</w:t>
            </w:r>
          </w:p>
        </w:tc>
        <w:tc>
          <w:tcPr>
            <w:tcW w:w="1152" w:type="dxa"/>
            <w:tcBorders>
              <w:top w:val="single" w:color="auto" w:sz="4" w:space="0"/>
              <w:left w:val="single" w:color="auto" w:sz="4" w:space="0"/>
              <w:bottom w:val="single" w:color="auto" w:sz="4" w:space="0"/>
              <w:right w:val="single" w:color="auto" w:sz="4" w:space="0"/>
            </w:tcBorders>
            <w:noWrap w:val="0"/>
            <w:vAlign w:val="center"/>
          </w:tcPr>
          <w:p w14:paraId="2485F47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7"/>
                <w:sz w:val="24"/>
                <w:szCs w:val="24"/>
                <w:highlight w:val="none"/>
              </w:rPr>
              <w:t>名称</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F00209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服务内容</w:t>
            </w:r>
          </w:p>
        </w:tc>
        <w:tc>
          <w:tcPr>
            <w:tcW w:w="1459" w:type="dxa"/>
            <w:tcBorders>
              <w:top w:val="single" w:color="auto" w:sz="4" w:space="0"/>
              <w:left w:val="single" w:color="auto" w:sz="4" w:space="0"/>
              <w:bottom w:val="single" w:color="auto" w:sz="4" w:space="0"/>
              <w:right w:val="single" w:color="auto" w:sz="4" w:space="0"/>
            </w:tcBorders>
            <w:noWrap w:val="0"/>
            <w:vAlign w:val="center"/>
          </w:tcPr>
          <w:p w14:paraId="63EA131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详细说明</w:t>
            </w:r>
          </w:p>
        </w:tc>
        <w:tc>
          <w:tcPr>
            <w:tcW w:w="1517" w:type="dxa"/>
            <w:tcBorders>
              <w:top w:val="single" w:color="auto" w:sz="4" w:space="0"/>
              <w:left w:val="single" w:color="auto" w:sz="4" w:space="0"/>
              <w:bottom w:val="single" w:color="auto" w:sz="4" w:space="0"/>
              <w:right w:val="single" w:color="auto" w:sz="4" w:space="0"/>
            </w:tcBorders>
            <w:noWrap w:val="0"/>
            <w:vAlign w:val="center"/>
          </w:tcPr>
          <w:p w14:paraId="719FB0C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单价（元）</w:t>
            </w:r>
          </w:p>
        </w:tc>
        <w:tc>
          <w:tcPr>
            <w:tcW w:w="1246" w:type="dxa"/>
            <w:tcBorders>
              <w:top w:val="single" w:color="auto" w:sz="4" w:space="0"/>
              <w:left w:val="single" w:color="auto" w:sz="4" w:space="0"/>
              <w:bottom w:val="single" w:color="auto" w:sz="4" w:space="0"/>
              <w:right w:val="single" w:color="auto" w:sz="4" w:space="0"/>
            </w:tcBorders>
            <w:noWrap w:val="0"/>
            <w:vAlign w:val="center"/>
          </w:tcPr>
          <w:p w14:paraId="3EE29AC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总价（元）</w:t>
            </w:r>
          </w:p>
        </w:tc>
        <w:tc>
          <w:tcPr>
            <w:tcW w:w="1430" w:type="dxa"/>
            <w:tcBorders>
              <w:top w:val="single" w:color="auto" w:sz="4" w:space="0"/>
              <w:left w:val="single" w:color="auto" w:sz="4" w:space="0"/>
              <w:bottom w:val="single" w:color="auto" w:sz="4" w:space="0"/>
              <w:right w:val="single" w:color="auto" w:sz="4" w:space="0"/>
            </w:tcBorders>
            <w:noWrap w:val="0"/>
            <w:vAlign w:val="center"/>
          </w:tcPr>
          <w:p w14:paraId="68A3DDE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备注</w:t>
            </w:r>
          </w:p>
        </w:tc>
      </w:tr>
      <w:tr w14:paraId="27D45F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34" w:type="dxa"/>
            <w:tcBorders>
              <w:top w:val="single" w:color="auto" w:sz="4" w:space="0"/>
              <w:left w:val="single" w:color="auto" w:sz="4" w:space="0"/>
              <w:bottom w:val="single" w:color="auto" w:sz="4" w:space="0"/>
              <w:right w:val="single" w:color="auto" w:sz="4" w:space="0"/>
            </w:tcBorders>
            <w:noWrap w:val="0"/>
            <w:vAlign w:val="top"/>
          </w:tcPr>
          <w:p w14:paraId="775AE971">
            <w:pPr>
              <w:keepNext w:val="0"/>
              <w:keepLines w:val="0"/>
              <w:pageBreakBefore w:val="0"/>
              <w:kinsoku/>
              <w:wordWrap/>
              <w:overflowPunct/>
              <w:topLinePunct w:val="0"/>
              <w:bidi w:val="0"/>
              <w:adjustRightInd/>
              <w:snapToGrid/>
              <w:spacing w:before="136" w:line="360" w:lineRule="auto"/>
              <w:ind w:left="0" w:leftChars="0" w:firstLine="0" w:firstLineChars="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1152" w:type="dxa"/>
            <w:tcBorders>
              <w:top w:val="single" w:color="auto" w:sz="4" w:space="0"/>
              <w:left w:val="single" w:color="auto" w:sz="4" w:space="0"/>
              <w:bottom w:val="single" w:color="auto" w:sz="4" w:space="0"/>
              <w:right w:val="single" w:color="auto" w:sz="4" w:space="0"/>
            </w:tcBorders>
            <w:noWrap w:val="0"/>
            <w:vAlign w:val="top"/>
          </w:tcPr>
          <w:p w14:paraId="6E83D433">
            <w:pPr>
              <w:keepNext w:val="0"/>
              <w:keepLines w:val="0"/>
              <w:pageBreakBefore w:val="0"/>
              <w:kinsoku/>
              <w:wordWrap/>
              <w:overflowPunct/>
              <w:topLinePunct w:val="0"/>
              <w:bidi w:val="0"/>
              <w:adjustRightInd/>
              <w:snapToGrid/>
              <w:spacing w:before="62" w:line="360" w:lineRule="auto"/>
              <w:ind w:left="890" w:leftChars="0" w:firstLine="482" w:firstLineChars="0"/>
              <w:jc w:val="center"/>
              <w:rPr>
                <w:rFonts w:hint="eastAsia" w:ascii="宋体" w:hAnsi="宋体" w:eastAsia="宋体" w:cs="宋体"/>
                <w:color w:val="000000"/>
                <w:sz w:val="24"/>
                <w:szCs w:val="24"/>
                <w:highlight w:val="none"/>
              </w:rPr>
            </w:pPr>
          </w:p>
        </w:tc>
        <w:tc>
          <w:tcPr>
            <w:tcW w:w="1298" w:type="dxa"/>
            <w:tcBorders>
              <w:top w:val="single" w:color="auto" w:sz="4" w:space="0"/>
              <w:left w:val="single" w:color="auto" w:sz="4" w:space="0"/>
              <w:bottom w:val="single" w:color="auto" w:sz="4" w:space="0"/>
              <w:right w:val="single" w:color="auto" w:sz="4" w:space="0"/>
            </w:tcBorders>
            <w:noWrap w:val="0"/>
            <w:vAlign w:val="top"/>
          </w:tcPr>
          <w:p w14:paraId="5F057F1C">
            <w:pPr>
              <w:keepNext w:val="0"/>
              <w:keepLines w:val="0"/>
              <w:pageBreakBefore w:val="0"/>
              <w:kinsoku/>
              <w:wordWrap/>
              <w:overflowPunct/>
              <w:topLinePunct w:val="0"/>
              <w:bidi w:val="0"/>
              <w:adjustRightInd/>
              <w:snapToGrid/>
              <w:spacing w:before="70" w:line="360" w:lineRule="auto"/>
              <w:ind w:left="453" w:leftChars="0" w:firstLine="482" w:firstLineChars="0"/>
              <w:jc w:val="center"/>
              <w:rPr>
                <w:rFonts w:hint="eastAsia" w:ascii="宋体" w:hAnsi="宋体" w:eastAsia="宋体" w:cs="宋体"/>
                <w:color w:val="000000"/>
                <w:sz w:val="24"/>
                <w:szCs w:val="24"/>
                <w:highlight w:val="none"/>
              </w:rPr>
            </w:pPr>
          </w:p>
        </w:tc>
        <w:tc>
          <w:tcPr>
            <w:tcW w:w="1459" w:type="dxa"/>
            <w:tcBorders>
              <w:top w:val="single" w:color="auto" w:sz="4" w:space="0"/>
              <w:left w:val="single" w:color="auto" w:sz="4" w:space="0"/>
              <w:bottom w:val="single" w:color="auto" w:sz="4" w:space="0"/>
              <w:right w:val="single" w:color="auto" w:sz="4" w:space="0"/>
            </w:tcBorders>
            <w:noWrap w:val="0"/>
            <w:vAlign w:val="top"/>
          </w:tcPr>
          <w:p w14:paraId="5FF4D664">
            <w:pPr>
              <w:keepNext w:val="0"/>
              <w:keepLines w:val="0"/>
              <w:pageBreakBefore w:val="0"/>
              <w:kinsoku/>
              <w:wordWrap/>
              <w:overflowPunct/>
              <w:topLinePunct w:val="0"/>
              <w:bidi w:val="0"/>
              <w:adjustRightInd/>
              <w:snapToGrid/>
              <w:spacing w:before="136" w:line="360" w:lineRule="auto"/>
              <w:ind w:left="474" w:leftChars="0" w:firstLine="482" w:firstLineChars="0"/>
              <w:jc w:val="center"/>
              <w:rPr>
                <w:rFonts w:hint="eastAsia" w:ascii="宋体" w:hAnsi="宋体" w:eastAsia="宋体" w:cs="宋体"/>
                <w:color w:val="000000"/>
                <w:sz w:val="24"/>
                <w:szCs w:val="24"/>
                <w:highlight w:val="none"/>
                <w:lang w:val="en-US" w:eastAsia="zh-CN"/>
              </w:rPr>
            </w:pPr>
          </w:p>
        </w:tc>
        <w:tc>
          <w:tcPr>
            <w:tcW w:w="1517" w:type="dxa"/>
            <w:tcBorders>
              <w:top w:val="single" w:color="auto" w:sz="4" w:space="0"/>
              <w:left w:val="single" w:color="auto" w:sz="4" w:space="0"/>
              <w:bottom w:val="single" w:color="auto" w:sz="4" w:space="0"/>
              <w:right w:val="single" w:color="auto" w:sz="4" w:space="0"/>
            </w:tcBorders>
            <w:noWrap w:val="0"/>
            <w:vAlign w:val="top"/>
          </w:tcPr>
          <w:p w14:paraId="3BAB6B64">
            <w:pPr>
              <w:keepNext w:val="0"/>
              <w:keepLines w:val="0"/>
              <w:pageBreakBefore w:val="0"/>
              <w:kinsoku/>
              <w:wordWrap/>
              <w:overflowPunct/>
              <w:topLinePunct w:val="0"/>
              <w:bidi w:val="0"/>
              <w:adjustRightInd/>
              <w:snapToGrid/>
              <w:spacing w:line="360" w:lineRule="auto"/>
              <w:ind w:firstLine="482" w:firstLineChars="0"/>
              <w:jc w:val="center"/>
              <w:rPr>
                <w:rFonts w:hint="eastAsia" w:ascii="宋体" w:hAnsi="宋体" w:eastAsia="宋体" w:cs="宋体"/>
                <w:color w:val="000000"/>
                <w:sz w:val="24"/>
                <w:szCs w:val="24"/>
                <w:highlight w:val="none"/>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129EE711">
            <w:pPr>
              <w:keepNext w:val="0"/>
              <w:keepLines w:val="0"/>
              <w:pageBreakBefore w:val="0"/>
              <w:kinsoku/>
              <w:wordWrap/>
              <w:overflowPunct/>
              <w:topLinePunct w:val="0"/>
              <w:bidi w:val="0"/>
              <w:adjustRightInd/>
              <w:snapToGrid/>
              <w:spacing w:before="62" w:line="360" w:lineRule="auto"/>
              <w:ind w:left="348" w:leftChars="0" w:firstLine="482" w:firstLineChars="0"/>
              <w:jc w:val="center"/>
              <w:rPr>
                <w:rFonts w:hint="eastAsia" w:ascii="宋体" w:hAnsi="宋体" w:eastAsia="宋体" w:cs="宋体"/>
                <w:color w:val="000000"/>
                <w:sz w:val="24"/>
                <w:szCs w:val="24"/>
                <w:highlight w:val="none"/>
              </w:rPr>
            </w:pPr>
          </w:p>
        </w:tc>
        <w:tc>
          <w:tcPr>
            <w:tcW w:w="1430" w:type="dxa"/>
            <w:tcBorders>
              <w:top w:val="single" w:color="auto" w:sz="4" w:space="0"/>
              <w:left w:val="single" w:color="auto" w:sz="4" w:space="0"/>
              <w:bottom w:val="single" w:color="auto" w:sz="4" w:space="0"/>
              <w:right w:val="single" w:color="auto" w:sz="4" w:space="0"/>
            </w:tcBorders>
            <w:noWrap w:val="0"/>
            <w:vAlign w:val="top"/>
          </w:tcPr>
          <w:p w14:paraId="49DCC770">
            <w:pPr>
              <w:keepNext w:val="0"/>
              <w:keepLines w:val="0"/>
              <w:pageBreakBefore w:val="0"/>
              <w:kinsoku/>
              <w:wordWrap/>
              <w:overflowPunct/>
              <w:topLinePunct w:val="0"/>
              <w:bidi w:val="0"/>
              <w:adjustRightInd/>
              <w:snapToGrid/>
              <w:spacing w:before="62" w:line="360" w:lineRule="auto"/>
              <w:ind w:left="348" w:leftChars="0" w:firstLine="482" w:firstLineChars="0"/>
              <w:jc w:val="center"/>
              <w:rPr>
                <w:rFonts w:hint="eastAsia" w:ascii="宋体" w:hAnsi="宋体" w:eastAsia="宋体" w:cs="宋体"/>
                <w:color w:val="000000"/>
                <w:sz w:val="24"/>
                <w:szCs w:val="24"/>
                <w:highlight w:val="none"/>
              </w:rPr>
            </w:pPr>
          </w:p>
        </w:tc>
      </w:tr>
      <w:tr w14:paraId="1780C1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036" w:type="dxa"/>
            <w:gridSpan w:val="7"/>
            <w:tcBorders>
              <w:top w:val="single" w:color="auto" w:sz="4" w:space="0"/>
              <w:left w:val="single" w:color="auto" w:sz="4" w:space="0"/>
              <w:bottom w:val="single" w:color="auto" w:sz="4" w:space="0"/>
              <w:right w:val="single" w:color="auto" w:sz="4" w:space="0"/>
            </w:tcBorders>
            <w:noWrap w:val="0"/>
            <w:vAlign w:val="center"/>
          </w:tcPr>
          <w:p w14:paraId="1D4CFEB5">
            <w:pPr>
              <w:keepNext w:val="0"/>
              <w:keepLines w:val="0"/>
              <w:pageBreakBefore w:val="0"/>
              <w:widowControl w:val="0"/>
              <w:kinsoku/>
              <w:wordWrap/>
              <w:overflowPunct/>
              <w:topLinePunct w:val="0"/>
              <w:autoSpaceDE/>
              <w:autoSpaceDN/>
              <w:bidi w:val="0"/>
              <w:adjustRightInd/>
              <w:snapToGrid/>
              <w:spacing w:before="62" w:line="240" w:lineRule="auto"/>
              <w:ind w:left="346" w:leftChars="0" w:firstLine="482" w:firstLineChars="0"/>
              <w:jc w:val="left"/>
              <w:textAlignment w:val="auto"/>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w:t>
            </w:r>
          </w:p>
        </w:tc>
      </w:tr>
      <w:tr w14:paraId="63837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jc w:val="center"/>
        </w:trPr>
        <w:tc>
          <w:tcPr>
            <w:tcW w:w="7606" w:type="dxa"/>
            <w:gridSpan w:val="6"/>
            <w:tcBorders>
              <w:top w:val="single" w:color="auto" w:sz="4" w:space="0"/>
              <w:left w:val="single" w:color="auto" w:sz="4" w:space="0"/>
              <w:bottom w:val="single" w:color="auto" w:sz="4" w:space="0"/>
              <w:right w:val="single" w:color="auto" w:sz="4" w:space="0"/>
            </w:tcBorders>
            <w:noWrap w:val="0"/>
            <w:vAlign w:val="top"/>
          </w:tcPr>
          <w:p w14:paraId="665B0E5F">
            <w:pPr>
              <w:keepNext w:val="0"/>
              <w:keepLines w:val="0"/>
              <w:pageBreakBefore w:val="0"/>
              <w:kinsoku/>
              <w:wordWrap/>
              <w:overflowPunct/>
              <w:topLinePunct w:val="0"/>
              <w:bidi w:val="0"/>
              <w:adjustRightInd/>
              <w:snapToGrid/>
              <w:spacing w:before="71" w:line="360" w:lineRule="auto"/>
              <w:ind w:left="8" w:leftChars="0" w:firstLine="482" w:firstLineChars="0"/>
              <w:jc w:val="both"/>
              <w:rPr>
                <w:rFonts w:hint="eastAsia" w:ascii="宋体" w:hAnsi="宋体" w:eastAsia="宋体" w:cs="宋体"/>
                <w:color w:val="000000"/>
                <w:sz w:val="24"/>
                <w:szCs w:val="24"/>
                <w:highlight w:val="none"/>
              </w:rPr>
            </w:pPr>
            <w:r>
              <w:rPr>
                <w:rFonts w:hint="eastAsia" w:ascii="宋体" w:hAnsi="宋体" w:eastAsia="宋体" w:cs="宋体"/>
                <w:color w:val="000000"/>
                <w:spacing w:val="7"/>
                <w:sz w:val="24"/>
                <w:szCs w:val="24"/>
                <w:highlight w:val="none"/>
              </w:rPr>
              <w:t>合同总价人民币(大写):</w:t>
            </w:r>
          </w:p>
        </w:tc>
        <w:tc>
          <w:tcPr>
            <w:tcW w:w="1430" w:type="dxa"/>
            <w:tcBorders>
              <w:top w:val="single" w:color="auto" w:sz="4" w:space="0"/>
              <w:left w:val="single" w:color="auto" w:sz="4" w:space="0"/>
              <w:bottom w:val="single" w:color="auto" w:sz="4" w:space="0"/>
              <w:right w:val="single" w:color="auto" w:sz="4" w:space="0"/>
            </w:tcBorders>
            <w:noWrap w:val="0"/>
            <w:vAlign w:val="top"/>
          </w:tcPr>
          <w:p w14:paraId="0531DFEB">
            <w:pPr>
              <w:keepNext w:val="0"/>
              <w:keepLines w:val="0"/>
              <w:pageBreakBefore w:val="0"/>
              <w:kinsoku/>
              <w:wordWrap/>
              <w:overflowPunct/>
              <w:topLinePunct w:val="0"/>
              <w:bidi w:val="0"/>
              <w:adjustRightInd/>
              <w:snapToGrid/>
              <w:spacing w:before="71" w:line="360" w:lineRule="auto"/>
              <w:ind w:left="8" w:leftChars="0" w:firstLine="482" w:firstLineChars="0"/>
              <w:jc w:val="both"/>
              <w:rPr>
                <w:rFonts w:hint="eastAsia" w:ascii="宋体" w:hAnsi="宋体" w:eastAsia="宋体" w:cs="宋体"/>
                <w:color w:val="000000"/>
                <w:spacing w:val="7"/>
                <w:sz w:val="24"/>
                <w:szCs w:val="24"/>
                <w:highlight w:val="none"/>
              </w:rPr>
            </w:pPr>
          </w:p>
        </w:tc>
      </w:tr>
    </w:tbl>
    <w:p w14:paraId="54C69BE1">
      <w:pPr>
        <w:pStyle w:val="3"/>
        <w:keepNext w:val="0"/>
        <w:keepLines w:val="0"/>
        <w:pageBreakBefore w:val="0"/>
        <w:kinsoku/>
        <w:wordWrap/>
        <w:overflowPunct/>
        <w:topLinePunct w:val="0"/>
        <w:bidi w:val="0"/>
        <w:adjustRightInd/>
        <w:snapToGrid/>
        <w:spacing w:before="0" w:after="0" w:line="360" w:lineRule="auto"/>
        <w:ind w:left="0" w:leftChars="0" w:firstLine="0" w:firstLineChars="0"/>
        <w:rPr>
          <w:rFonts w:hint="eastAsia" w:ascii="宋体" w:hAnsi="宋体" w:eastAsia="宋体" w:cs="宋体"/>
          <w:color w:val="000000"/>
          <w:sz w:val="24"/>
          <w:szCs w:val="24"/>
          <w:highlight w:val="none"/>
          <w:lang w:eastAsia="zh-CN"/>
        </w:rPr>
      </w:pPr>
      <w:r>
        <w:rPr>
          <w:rFonts w:hint="eastAsia" w:ascii="宋体" w:hAnsi="宋体" w:eastAsia="宋体" w:cs="宋体"/>
          <w:b/>
          <w:color w:val="000000"/>
          <w:sz w:val="24"/>
          <w:szCs w:val="24"/>
          <w:highlight w:val="none"/>
        </w:rPr>
        <w:t xml:space="preserve">                                                                                                                                                                     </w:t>
      </w:r>
    </w:p>
    <w:p w14:paraId="51F2C58B">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highlight w:val="none"/>
          <w:lang w:eastAsia="zh-CN"/>
        </w:rPr>
      </w:pPr>
      <w:r>
        <w:rPr>
          <w:rFonts w:hint="eastAsia" w:ascii="宋体" w:hAnsi="宋体" w:eastAsia="宋体" w:cs="宋体"/>
          <w:b/>
          <w:color w:val="000000"/>
          <w:sz w:val="24"/>
          <w:szCs w:val="24"/>
          <w:highlight w:val="none"/>
          <w:lang w:eastAsia="zh-CN"/>
        </w:rPr>
        <w:t>二、服务内容</w:t>
      </w:r>
    </w:p>
    <w:p w14:paraId="76CC6F4B">
      <w:pPr>
        <w:pStyle w:val="3"/>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1、计量仪器设备的检定/校准；</w:t>
      </w:r>
    </w:p>
    <w:p w14:paraId="43E18003">
      <w:pPr>
        <w:pStyle w:val="3"/>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2、甲方负责提供现场工作条件。乙方负责制定技术方案，提供检定、校准仪器设备的基标准器，并对所检定、校准的仪器出具检定、校准证书或测试报告。</w:t>
      </w:r>
    </w:p>
    <w:p w14:paraId="3AA07737">
      <w:pPr>
        <w:pStyle w:val="3"/>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3、按照国家市场监督管理局的要求协助甲方完成全院强检医疗设备在中国电子质量监督（e-CQS）系统上的登记造册。</w:t>
      </w:r>
    </w:p>
    <w:p w14:paraId="0D1802FC">
      <w:pPr>
        <w:pStyle w:val="3"/>
        <w:keepNext w:val="0"/>
        <w:keepLines w:val="0"/>
        <w:pageBreakBefore w:val="0"/>
        <w:numPr>
          <w:ilvl w:val="0"/>
          <w:numId w:val="0"/>
        </w:numPr>
        <w:kinsoku/>
        <w:wordWrap/>
        <w:overflowPunct/>
        <w:topLinePunct w:val="0"/>
        <w:bidi w:val="0"/>
        <w:adjustRightInd/>
        <w:snapToGrid/>
        <w:spacing w:before="0" w:after="0"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eastAsia="zh-CN"/>
        </w:rPr>
        <w:t>三、服务要求：</w:t>
      </w:r>
    </w:p>
    <w:p w14:paraId="093100EA">
      <w:pPr>
        <w:pStyle w:val="3"/>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1、服务</w:t>
      </w:r>
      <w:r>
        <w:rPr>
          <w:rFonts w:hint="eastAsia" w:ascii="宋体" w:hAnsi="宋体" w:cs="宋体"/>
          <w:color w:val="000000"/>
          <w:sz w:val="24"/>
          <w:szCs w:val="24"/>
          <w:highlight w:val="none"/>
          <w:lang w:val="en-US" w:eastAsia="zh-CN"/>
        </w:rPr>
        <w:t>期限</w:t>
      </w:r>
      <w:r>
        <w:rPr>
          <w:rFonts w:hint="eastAsia" w:ascii="宋体" w:hAnsi="宋体" w:eastAsia="宋体" w:cs="宋体"/>
          <w:color w:val="000000"/>
          <w:sz w:val="24"/>
          <w:szCs w:val="24"/>
          <w:highlight w:val="none"/>
          <w:lang w:val="en-US" w:eastAsia="zh-CN"/>
        </w:rPr>
        <w:t>：自合同签订之日起12个月。</w:t>
      </w:r>
    </w:p>
    <w:p w14:paraId="05E05127">
      <w:pPr>
        <w:pStyle w:val="3"/>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2、服务</w:t>
      </w:r>
      <w:r>
        <w:rPr>
          <w:rFonts w:hint="eastAsia" w:ascii="宋体" w:hAnsi="宋体" w:eastAsia="宋体" w:cs="宋体"/>
          <w:color w:val="000000"/>
          <w:sz w:val="24"/>
          <w:szCs w:val="24"/>
          <w:highlight w:val="none"/>
        </w:rPr>
        <w:t>地点：西安市第一医院（粉巷院区、高新院区和文理院区）</w:t>
      </w:r>
      <w:r>
        <w:rPr>
          <w:rFonts w:hint="eastAsia" w:ascii="宋体" w:hAnsi="宋体" w:eastAsia="宋体" w:cs="宋体"/>
          <w:color w:val="000000"/>
          <w:sz w:val="24"/>
          <w:szCs w:val="24"/>
          <w:highlight w:val="none"/>
          <w:lang w:eastAsia="zh-CN"/>
        </w:rPr>
        <w:t>。</w:t>
      </w:r>
    </w:p>
    <w:p w14:paraId="2CB1F8DE">
      <w:pPr>
        <w:pStyle w:val="3"/>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3、检定时限：自合同签订之日起</w:t>
      </w:r>
      <w:r>
        <w:rPr>
          <w:rFonts w:hint="eastAsia" w:ascii="宋体" w:hAnsi="宋体" w:cs="宋体"/>
          <w:color w:val="000000"/>
          <w:sz w:val="24"/>
          <w:szCs w:val="24"/>
          <w:highlight w:val="none"/>
          <w:lang w:val="en-US" w:eastAsia="zh-CN"/>
        </w:rPr>
        <w:t>，由甲方</w:t>
      </w:r>
      <w:r>
        <w:rPr>
          <w:rFonts w:hint="eastAsia" w:ascii="宋体" w:hAnsi="宋体" w:eastAsia="宋体" w:cs="宋体"/>
          <w:color w:val="000000"/>
          <w:sz w:val="24"/>
          <w:szCs w:val="24"/>
          <w:highlight w:val="none"/>
          <w:lang w:val="en-US" w:eastAsia="zh-CN"/>
        </w:rPr>
        <w:t>发出检定通知后，</w:t>
      </w:r>
      <w:r>
        <w:rPr>
          <w:rFonts w:hint="eastAsia" w:ascii="宋体" w:hAnsi="宋体" w:cs="宋体"/>
          <w:color w:val="000000"/>
          <w:sz w:val="24"/>
          <w:szCs w:val="24"/>
          <w:highlight w:val="none"/>
          <w:lang w:val="en-US" w:eastAsia="zh-CN"/>
        </w:rPr>
        <w:t>乙方</w:t>
      </w:r>
      <w:r>
        <w:rPr>
          <w:rFonts w:hint="eastAsia" w:ascii="宋体" w:hAnsi="宋体" w:eastAsia="宋体" w:cs="宋体"/>
          <w:color w:val="000000"/>
          <w:sz w:val="24"/>
          <w:szCs w:val="24"/>
          <w:highlight w:val="none"/>
          <w:lang w:val="en-US" w:eastAsia="zh-CN"/>
        </w:rPr>
        <w:t>须在60日内完成所有医疗器械计量器具计量检定。</w:t>
      </w:r>
    </w:p>
    <w:p w14:paraId="2126A6B7">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eastAsia="zh-CN"/>
        </w:rPr>
        <w:t>四</w:t>
      </w:r>
      <w:r>
        <w:rPr>
          <w:rFonts w:hint="eastAsia" w:ascii="宋体" w:hAnsi="宋体" w:eastAsia="宋体" w:cs="宋体"/>
          <w:b/>
          <w:color w:val="000000"/>
          <w:sz w:val="24"/>
          <w:szCs w:val="24"/>
          <w:highlight w:val="none"/>
        </w:rPr>
        <w:t>、合同总价</w:t>
      </w:r>
    </w:p>
    <w:p w14:paraId="41E806CA">
      <w:pPr>
        <w:pStyle w:val="3"/>
        <w:keepNext w:val="0"/>
        <w:keepLines w:val="0"/>
        <w:pageBreakBefore w:val="0"/>
        <w:kinsoku/>
        <w:wordWrap/>
        <w:overflowPunct/>
        <w:topLinePunct w:val="0"/>
        <w:bidi w:val="0"/>
        <w:adjustRightInd/>
        <w:snapToGrid/>
        <w:spacing w:before="0" w:after="0"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合同总价为人民币大写：</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，即RMB¥</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元；该合同总价已包括检定/校准费和其它乙方履行合同义务所需的全部费用(人工费、餐饮交通费、检测费、调试费、检定报告工本费、税费、发票等费用)。合同单价金额一次性包死，不受市场价格变化等因素的影响，合同最终结算总额不超过合同总价款</w:t>
      </w:r>
      <w:r>
        <w:rPr>
          <w:rFonts w:hint="eastAsia" w:ascii="宋体" w:hAnsi="宋体" w:eastAsia="宋体" w:cs="宋体"/>
          <w:color w:val="000000"/>
          <w:sz w:val="24"/>
          <w:szCs w:val="24"/>
          <w:highlight w:val="none"/>
          <w:lang w:eastAsia="zh-CN"/>
        </w:rPr>
        <w:t>。</w:t>
      </w:r>
    </w:p>
    <w:p w14:paraId="1822CA7F">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eastAsia="zh-CN"/>
        </w:rPr>
        <w:t>五</w:t>
      </w:r>
      <w:r>
        <w:rPr>
          <w:rFonts w:hint="eastAsia" w:ascii="宋体" w:hAnsi="宋体" w:eastAsia="宋体" w:cs="宋体"/>
          <w:b/>
          <w:color w:val="000000"/>
          <w:sz w:val="24"/>
          <w:szCs w:val="24"/>
          <w:highlight w:val="none"/>
        </w:rPr>
        <w:t>、付款方式</w:t>
      </w:r>
    </w:p>
    <w:p w14:paraId="44F0BAE9">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设备计量检定/校准结束后，乙方应在30日内提供所有设备的计量检定/校准证书（纸质版一份、电子版一份），经甲方确认后，乙方开具符合甲方要求的全额发票，甲方在60日内付全款,即人民币</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元整(¥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p>
    <w:p w14:paraId="2A2408DA">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六、双方的权利和义务：</w:t>
      </w:r>
    </w:p>
    <w:p w14:paraId="75E13DE0">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(一)甲方的权利和义务</w:t>
      </w:r>
    </w:p>
    <w:p w14:paraId="56688CE7">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1、现场检定、校准环境条件对乙方检定员有特殊要求或对其健康安全有影响时，甲方必须在乙方检定员开始工作前，就有关事项进行告知。</w:t>
      </w:r>
    </w:p>
    <w:p w14:paraId="4B249A64">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2、甲方应提供检定、校准所需的技术资料、图纸及辅助材料；若为现场检定，甲方还应提供水、电辅助设施及必备的环境条件。</w:t>
      </w:r>
    </w:p>
    <w:p w14:paraId="150AC8EA">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(二)乙方的权利和义务</w:t>
      </w:r>
    </w:p>
    <w:p w14:paraId="191DA669">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乙方负责妥善保管甲方提供的仪器设备以及相关的技术资料、图纸，并承诺对涉及甲方的所有商业或技术予以保密，否则应向甲方承担由此造成的一切损失并按照本合同约定承担违约责任。本合同的终止、解除不影响本条款的效力。</w:t>
      </w:r>
    </w:p>
    <w:p w14:paraId="53C11821">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2、现场检定、校准环境条件对乙方检定员有特殊要求或对其健康安全有影响且甲方已就有关事项进行告知后，乙方应负责检定员的安全管理和由此产生的一切责任。</w:t>
      </w:r>
    </w:p>
    <w:p w14:paraId="3CD83B16">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3、由乙方检定员到现场完成检定、校准工作。</w:t>
      </w:r>
    </w:p>
    <w:p w14:paraId="3C788FB3">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4、乙方优先使用国家计量检定规程和国家计量校准规范，也可使用国际、地区、国家标准中公布的或由知名的技术组织及有关科学书籍和期刊颁布的方法；乙方可使用甲方或设备制造商指定的方法；当乙方使用非标准方法时，应征得甲</w:t>
      </w:r>
      <w:r>
        <w:rPr>
          <w:rFonts w:hint="eastAsia" w:ascii="宋体" w:hAnsi="宋体" w:eastAsia="宋体" w:cs="宋体"/>
          <w:color w:val="000000"/>
          <w:sz w:val="24"/>
          <w:szCs w:val="24"/>
          <w:highlight w:val="none"/>
        </w:rPr>
        <w:t>方同意。</w:t>
      </w:r>
    </w:p>
    <w:p w14:paraId="655D4005">
      <w:pPr>
        <w:pStyle w:val="12"/>
        <w:keepNext w:val="0"/>
        <w:keepLines w:val="0"/>
        <w:pageBreakBefore w:val="0"/>
        <w:kinsoku/>
        <w:wordWrap/>
        <w:overflowPunct/>
        <w:topLinePunct w:val="0"/>
        <w:bidi w:val="0"/>
        <w:adjustRightInd/>
        <w:snapToGrid/>
        <w:spacing w:line="360" w:lineRule="auto"/>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lang w:val="en-US" w:eastAsia="zh-CN"/>
        </w:rPr>
        <w:t>在计量检测有效期内，有相关部门对医院设备计量检测方面进行检查，如因</w:t>
      </w:r>
      <w:r>
        <w:rPr>
          <w:rFonts w:hint="eastAsia" w:ascii="宋体" w:hAnsi="宋体" w:cs="宋体"/>
          <w:color w:val="000000"/>
          <w:sz w:val="24"/>
          <w:szCs w:val="24"/>
          <w:highlight w:val="none"/>
          <w:lang w:val="en-US" w:eastAsia="zh-CN"/>
        </w:rPr>
        <w:t>乙方</w:t>
      </w:r>
      <w:r>
        <w:rPr>
          <w:rFonts w:hint="eastAsia" w:ascii="宋体" w:hAnsi="宋体" w:eastAsia="宋体" w:cs="宋体"/>
          <w:color w:val="000000"/>
          <w:sz w:val="24"/>
          <w:szCs w:val="24"/>
          <w:highlight w:val="none"/>
          <w:lang w:val="en-US" w:eastAsia="zh-CN"/>
        </w:rPr>
        <w:t>原因，包括但不限于检验、校准工作不符合规范，证书无效或存在过错等，导致行政处罚或罚款或其他经济追责的由</w:t>
      </w:r>
      <w:r>
        <w:rPr>
          <w:rFonts w:hint="eastAsia" w:ascii="宋体" w:hAnsi="宋体" w:cs="宋体"/>
          <w:color w:val="000000"/>
          <w:sz w:val="24"/>
          <w:szCs w:val="24"/>
          <w:highlight w:val="none"/>
          <w:lang w:val="en-US" w:eastAsia="zh-CN"/>
        </w:rPr>
        <w:t>乙方</w:t>
      </w:r>
      <w:r>
        <w:rPr>
          <w:rFonts w:hint="eastAsia" w:ascii="宋体" w:hAnsi="宋体" w:eastAsia="宋体" w:cs="宋体"/>
          <w:color w:val="000000"/>
          <w:sz w:val="24"/>
          <w:szCs w:val="24"/>
          <w:highlight w:val="none"/>
          <w:lang w:val="en-US" w:eastAsia="zh-CN"/>
        </w:rPr>
        <w:t>承担。</w:t>
      </w:r>
    </w:p>
    <w:p w14:paraId="7EA75866">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highlight w:val="none"/>
          <w:lang w:eastAsia="zh-CN"/>
        </w:rPr>
      </w:pPr>
      <w:r>
        <w:rPr>
          <w:rFonts w:hint="eastAsia" w:ascii="宋体" w:hAnsi="宋体" w:eastAsia="宋体" w:cs="宋体"/>
          <w:b/>
          <w:color w:val="000000"/>
          <w:sz w:val="24"/>
          <w:szCs w:val="24"/>
          <w:highlight w:val="none"/>
          <w:lang w:eastAsia="zh-CN"/>
        </w:rPr>
        <w:t>七、质量保证</w:t>
      </w:r>
    </w:p>
    <w:p w14:paraId="41A1C06F">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1、乙方将部分检定/校准工作交由具备资格的分包方完成时，需征得甲方书面同意，</w:t>
      </w:r>
      <w:r>
        <w:rPr>
          <w:rFonts w:hint="eastAsia" w:ascii="宋体" w:hAnsi="宋体" w:eastAsia="宋体" w:cs="宋体"/>
          <w:color w:val="000000"/>
          <w:sz w:val="24"/>
          <w:szCs w:val="24"/>
          <w:highlight w:val="none"/>
          <w:lang w:eastAsia="zh-CN"/>
        </w:rPr>
        <w:t>且</w:t>
      </w:r>
      <w:r>
        <w:rPr>
          <w:rFonts w:hint="eastAsia" w:ascii="宋体" w:hAnsi="宋体" w:eastAsia="宋体" w:cs="宋体"/>
          <w:color w:val="000000"/>
          <w:sz w:val="24"/>
          <w:szCs w:val="24"/>
          <w:highlight w:val="none"/>
        </w:rPr>
        <w:t>乙方应确保其选定的分包方按照不低于本合同约定标准完成检定、校准工作，分包方未按合同约定完成相应工作的，仍由乙方依据本合同承担违约责任；</w:t>
      </w:r>
    </w:p>
    <w:p w14:paraId="75910DF8">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2、检定、校准工作和服务质量应满足实验室质量体系文件的要求，质保期限根据设备技术文件中的要求执行；</w:t>
      </w:r>
    </w:p>
    <w:p w14:paraId="6B3A71B2">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3、对检定、校准过程中需要维修的计量仪器，甲方通过修理等措施使被检定/校准计量器具恢复功能后再委托乙方重新检测；</w:t>
      </w:r>
    </w:p>
    <w:p w14:paraId="3945EE4C">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4、甲方在接收已完成检定、校准的计量器具时，应认真检查被检定、校准计量器具的状态，并由使用科室签字确认。</w:t>
      </w:r>
    </w:p>
    <w:p w14:paraId="293A2844">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八</w:t>
      </w:r>
      <w:r>
        <w:rPr>
          <w:rFonts w:hint="eastAsia" w:ascii="宋体" w:hAnsi="宋体" w:eastAsia="宋体" w:cs="宋体"/>
          <w:b/>
          <w:color w:val="000000"/>
          <w:sz w:val="24"/>
          <w:szCs w:val="24"/>
        </w:rPr>
        <w:t>、包装、运输、接收管理要求</w:t>
      </w:r>
    </w:p>
    <w:p w14:paraId="46B90C93">
      <w:pPr>
        <w:pStyle w:val="12"/>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能现场检定的设备就现场检定，无法现场检定的设备</w:t>
      </w:r>
      <w:r>
        <w:rPr>
          <w:rFonts w:hint="eastAsia" w:ascii="宋体" w:hAnsi="宋体" w:eastAsia="宋体" w:cs="宋体"/>
          <w:color w:val="000000"/>
          <w:sz w:val="24"/>
          <w:szCs w:val="24"/>
        </w:rPr>
        <w:t>甲方可将需要检定、校准的仪器设备包装好运至乙方，乙方也可接受甲方的委托，负责计量仪器设备的包装和运输，并确保仪器设备完好无损，具体事宜双方协商确定。</w:t>
      </w:r>
    </w:p>
    <w:p w14:paraId="5B8B411B">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九、检定、校准样品处置方式 </w:t>
      </w:r>
    </w:p>
    <w:p w14:paraId="3BD467BB">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 xml:space="preserve">1、检定、校准完成后，退回给甲方； </w:t>
      </w:r>
    </w:p>
    <w:p w14:paraId="21035393">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2、检定、校准过程中消耗或自动灭失；</w:t>
      </w:r>
    </w:p>
    <w:p w14:paraId="5152940A">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3、检定、校准过程中，损坏的样品分析原因后，协商处理；</w:t>
      </w:r>
    </w:p>
    <w:p w14:paraId="21F4F911">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 xml:space="preserve">4. 检定、校准样品按上述第1款方式处置。 </w:t>
      </w:r>
    </w:p>
    <w:p w14:paraId="4AAAFDB7">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十、验收</w:t>
      </w:r>
    </w:p>
    <w:p w14:paraId="5CC89BBF">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医疗设备检定、校准完成后由乙方进行自检并提供检验合格医疗设备检测证书(一式一份),</w:t>
      </w:r>
      <w:r>
        <w:rPr>
          <w:rFonts w:hint="eastAsia" w:ascii="宋体" w:hAnsi="宋体" w:eastAsia="宋体" w:cs="宋体"/>
          <w:color w:val="000000"/>
          <w:kern w:val="2"/>
          <w:sz w:val="24"/>
          <w:szCs w:val="24"/>
          <w:u w:val="none"/>
          <w:lang w:val="en-US" w:eastAsia="zh-CN" w:bidi="ar-SA"/>
        </w:rPr>
        <w:t>交于</w:t>
      </w:r>
      <w:r>
        <w:rPr>
          <w:rFonts w:hint="eastAsia" w:ascii="宋体" w:hAnsi="宋体" w:eastAsia="宋体" w:cs="宋体"/>
          <w:color w:val="000000"/>
          <w:kern w:val="2"/>
          <w:sz w:val="24"/>
          <w:szCs w:val="24"/>
          <w:lang w:val="en-US" w:eastAsia="zh-CN" w:bidi="ar-SA"/>
        </w:rPr>
        <w:t>设备科留档，甲方依据合同内容完成验收工作</w:t>
      </w:r>
    </w:p>
    <w:p w14:paraId="268D2A68">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十一、 违约责任以及争议解决</w:t>
      </w:r>
    </w:p>
    <w:p w14:paraId="58529630">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甲乙双方应按《中华人民共和国民法典》的规定履行职责，乙方应在规定时间内完成检定/校准工作并提供所有设备的计量检定/校准证书，每逾期壹日应向甲方支付合同总价款的千分之二/日的违约金。逾期超过10日，甲方有权解除合同，合同自书面解除通知到达乙方之日起生效，乙方则应按合同最高限价的30%向甲方支付违约金。</w:t>
      </w:r>
    </w:p>
    <w:p w14:paraId="7D883754">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2、争议解决：甲乙双方协商解决或向甲方所在地有管辖权的法院诉讼解决。</w:t>
      </w:r>
    </w:p>
    <w:p w14:paraId="158B9FCD">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十二、 合同变更与解除</w:t>
      </w:r>
    </w:p>
    <w:p w14:paraId="1595F04D">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 xml:space="preserve">1、双方中任何一方欲变更、解除合同，必须采取书面形式，未经双方书面确认，任何一方不得自行变更或修改本合同。 </w:t>
      </w:r>
    </w:p>
    <w:p w14:paraId="1BB7ADA3">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 xml:space="preserve">2、合同主体由于不可抗力导致协议不能履行的,双方均不承担违约责任,共同协商变更或解除合同。 </w:t>
      </w:r>
    </w:p>
    <w:p w14:paraId="1F9FBE90">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3、本合同与国家行政法律法规相抵触时,双方协商后依据国家行政法律、法规变更本合同。</w:t>
      </w:r>
    </w:p>
    <w:p w14:paraId="61714BBE">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十三、 合同生效</w:t>
      </w:r>
    </w:p>
    <w:p w14:paraId="61793BEE">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合同一式柒份，甲方陆份、乙方壹份，均具有同等法律效力。合同经甲 乙双方签字盖章后生效，合同执行完毕后，自动终止(合同的服务承诺则长期有效)。</w:t>
      </w:r>
    </w:p>
    <w:p w14:paraId="71C51AC6">
      <w:pPr>
        <w:keepNext w:val="0"/>
        <w:keepLines w:val="0"/>
        <w:pageBreakBefore w:val="0"/>
        <w:kinsoku/>
        <w:wordWrap/>
        <w:overflowPunct/>
        <w:topLinePunct w:val="0"/>
        <w:bidi w:val="0"/>
        <w:adjustRightInd/>
        <w:snapToGrid/>
        <w:spacing w:before="0" w:after="0" w:line="360" w:lineRule="auto"/>
        <w:ind w:firstLine="0"/>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十四、 其他事项</w:t>
      </w:r>
    </w:p>
    <w:p w14:paraId="6C1DFA72">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合同未尽事宜，由甲、乙双方协商，签订补充协议作为合同补充，与原合同具有同等法律效力，补充协议与原合同不一致的，以补充协议为准。</w:t>
      </w:r>
    </w:p>
    <w:p w14:paraId="379DC89A">
      <w:pPr>
        <w:keepNext w:val="0"/>
        <w:keepLines w:val="0"/>
        <w:pageBreakBefore w:val="0"/>
        <w:kinsoku/>
        <w:wordWrap/>
        <w:overflowPunct/>
        <w:topLinePunct w:val="0"/>
        <w:autoSpaceDE w:val="0"/>
        <w:autoSpaceDN w:val="0"/>
        <w:bidi w:val="0"/>
        <w:adjustRightInd/>
        <w:snapToGrid/>
        <w:spacing w:line="360" w:lineRule="auto"/>
        <w:jc w:val="left"/>
        <w:rPr>
          <w:rFonts w:hint="eastAsia" w:ascii="宋体" w:hAnsi="宋体" w:eastAsia="宋体" w:cs="宋体"/>
          <w:color w:val="000000"/>
          <w:w w:val="110"/>
          <w:sz w:val="24"/>
          <w:szCs w:val="24"/>
        </w:rPr>
      </w:pPr>
      <w:r>
        <w:rPr>
          <w:rFonts w:hint="eastAsia" w:ascii="宋体" w:hAnsi="宋体" w:eastAsia="宋体" w:cs="宋体"/>
          <w:color w:val="000000"/>
          <w:w w:val="110"/>
          <w:sz w:val="24"/>
          <w:szCs w:val="24"/>
        </w:rPr>
        <w:t>（以下无正文）</w:t>
      </w:r>
    </w:p>
    <w:p w14:paraId="2FAFA7EE">
      <w:pPr>
        <w:keepNext w:val="0"/>
        <w:keepLines w:val="0"/>
        <w:pageBreakBefore w:val="0"/>
        <w:kinsoku/>
        <w:wordWrap/>
        <w:overflowPunct/>
        <w:topLinePunct w:val="0"/>
        <w:bidi w:val="0"/>
        <w:adjustRightInd/>
        <w:snapToGrid/>
        <w:spacing w:before="0" w:after="0" w:line="360" w:lineRule="auto"/>
        <w:ind w:firstLine="0"/>
        <w:rPr>
          <w:rFonts w:hint="eastAsia" w:ascii="宋体" w:hAnsi="宋体" w:eastAsia="宋体" w:cs="宋体"/>
          <w:color w:val="000000"/>
          <w:sz w:val="24"/>
          <w:szCs w:val="24"/>
        </w:rPr>
      </w:pPr>
    </w:p>
    <w:p w14:paraId="74975142">
      <w:pPr>
        <w:pStyle w:val="4"/>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p>
    <w:p w14:paraId="661FC71A">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color w:val="000000"/>
          <w:sz w:val="24"/>
          <w:szCs w:val="24"/>
          <w:lang w:bidi="en-US"/>
        </w:rPr>
      </w:pPr>
      <w:r>
        <w:rPr>
          <w:rFonts w:hint="eastAsia" w:ascii="宋体" w:hAnsi="宋体" w:eastAsia="宋体" w:cs="宋体"/>
          <w:b/>
          <w:bCs/>
          <w:color w:val="000000"/>
          <w:sz w:val="24"/>
          <w:szCs w:val="24"/>
          <w:lang w:bidi="en-US"/>
        </w:rPr>
        <w:t>甲方：</w:t>
      </w:r>
      <w:r>
        <w:rPr>
          <w:rFonts w:hint="eastAsia" w:ascii="宋体" w:hAnsi="宋体" w:eastAsia="宋体" w:cs="宋体"/>
          <w:color w:val="000000"/>
          <w:sz w:val="24"/>
          <w:szCs w:val="24"/>
          <w:lang w:bidi="en-US"/>
        </w:rPr>
        <w:t xml:space="preserve">西安市第一医院（盖章）        </w:t>
      </w:r>
      <w:r>
        <w:rPr>
          <w:rFonts w:hint="eastAsia" w:ascii="宋体" w:hAnsi="宋体" w:eastAsia="宋体" w:cs="宋体"/>
          <w:color w:val="000000"/>
          <w:sz w:val="24"/>
          <w:szCs w:val="24"/>
          <w:lang w:val="en-US" w:eastAsia="zh-CN" w:bidi="en-US"/>
        </w:rPr>
        <w:t xml:space="preserve"> </w:t>
      </w:r>
      <w:r>
        <w:rPr>
          <w:rFonts w:hint="eastAsia" w:ascii="宋体" w:hAnsi="宋体" w:eastAsia="宋体" w:cs="宋体"/>
          <w:b/>
          <w:bCs/>
          <w:color w:val="000000"/>
          <w:sz w:val="24"/>
          <w:szCs w:val="24"/>
          <w:lang w:bidi="en-US"/>
        </w:rPr>
        <w:t xml:space="preserve">乙方：            </w:t>
      </w:r>
      <w:r>
        <w:rPr>
          <w:rFonts w:hint="eastAsia" w:ascii="宋体" w:hAnsi="宋体" w:eastAsia="宋体" w:cs="宋体"/>
          <w:color w:val="000000"/>
          <w:sz w:val="24"/>
          <w:szCs w:val="24"/>
          <w:lang w:bidi="en-US"/>
        </w:rPr>
        <w:t xml:space="preserve"> （盖章）</w:t>
      </w:r>
    </w:p>
    <w:p w14:paraId="2CA101F0">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color w:val="000000"/>
          <w:sz w:val="24"/>
          <w:szCs w:val="24"/>
          <w:lang w:bidi="en-US"/>
        </w:rPr>
      </w:pPr>
      <w:r>
        <w:rPr>
          <w:rFonts w:hint="eastAsia" w:ascii="宋体" w:hAnsi="宋体" w:eastAsia="宋体" w:cs="宋体"/>
          <w:b/>
          <w:bCs/>
          <w:color w:val="000000"/>
          <w:sz w:val="24"/>
          <w:szCs w:val="24"/>
          <w:lang w:bidi="en-US"/>
        </w:rPr>
        <w:t>开户行：</w:t>
      </w:r>
      <w:r>
        <w:rPr>
          <w:rFonts w:hint="eastAsia" w:ascii="宋体" w:hAnsi="宋体" w:eastAsia="宋体" w:cs="宋体"/>
          <w:color w:val="000000"/>
          <w:sz w:val="24"/>
          <w:szCs w:val="24"/>
        </w:rPr>
        <w:t>中国工商银行西安南大街支行</w:t>
      </w:r>
      <w:r>
        <w:rPr>
          <w:rFonts w:hint="eastAsia" w:ascii="宋体" w:hAnsi="宋体" w:eastAsia="宋体" w:cs="宋体"/>
          <w:color w:val="000000"/>
          <w:sz w:val="24"/>
          <w:szCs w:val="24"/>
          <w:lang w:bidi="en-US"/>
        </w:rPr>
        <w:t xml:space="preserve">   </w:t>
      </w:r>
      <w:r>
        <w:rPr>
          <w:rFonts w:hint="eastAsia" w:ascii="宋体" w:hAnsi="宋体" w:eastAsia="宋体" w:cs="宋体"/>
          <w:b/>
          <w:bCs/>
          <w:color w:val="000000"/>
          <w:sz w:val="24"/>
          <w:szCs w:val="24"/>
          <w:lang w:bidi="en-US"/>
        </w:rPr>
        <w:t>开户行：</w:t>
      </w:r>
    </w:p>
    <w:p w14:paraId="0FE53B16">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b/>
          <w:color w:val="000000"/>
          <w:sz w:val="24"/>
          <w:szCs w:val="24"/>
          <w:lang w:bidi="en-US"/>
        </w:rPr>
      </w:pPr>
      <w:r>
        <w:rPr>
          <w:rFonts w:hint="eastAsia" w:ascii="宋体" w:hAnsi="宋体" w:eastAsia="宋体" w:cs="宋体"/>
          <w:b/>
          <w:bCs/>
          <w:color w:val="000000"/>
          <w:sz w:val="24"/>
          <w:szCs w:val="24"/>
          <w:lang w:bidi="en-US"/>
        </w:rPr>
        <w:t>账号：</w:t>
      </w:r>
      <w:r>
        <w:rPr>
          <w:rFonts w:hint="eastAsia" w:ascii="宋体" w:hAnsi="宋体" w:eastAsia="宋体" w:cs="宋体"/>
          <w:color w:val="000000"/>
          <w:sz w:val="24"/>
          <w:szCs w:val="24"/>
          <w:lang w:bidi="en-US"/>
        </w:rPr>
        <w:t xml:space="preserve">3700020409089344018           </w:t>
      </w:r>
      <w:r>
        <w:rPr>
          <w:rFonts w:hint="eastAsia" w:ascii="宋体" w:hAnsi="宋体" w:eastAsia="宋体" w:cs="宋体"/>
          <w:b/>
          <w:color w:val="000000"/>
          <w:sz w:val="24"/>
          <w:szCs w:val="24"/>
          <w:lang w:bidi="en-US"/>
        </w:rPr>
        <w:t xml:space="preserve"> 银行账号：</w:t>
      </w:r>
    </w:p>
    <w:p w14:paraId="041AC584">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b/>
          <w:bCs/>
          <w:color w:val="000000"/>
          <w:sz w:val="24"/>
          <w:szCs w:val="24"/>
          <w:lang w:bidi="en-US"/>
        </w:rPr>
      </w:pPr>
      <w:r>
        <w:rPr>
          <w:rFonts w:hint="eastAsia" w:ascii="宋体" w:hAnsi="宋体" w:eastAsia="宋体" w:cs="宋体"/>
          <w:color w:val="000000"/>
          <w:sz w:val="24"/>
          <w:szCs w:val="24"/>
          <w:lang w:bidi="en-US"/>
        </w:rPr>
        <w:t xml:space="preserve">                                   </w:t>
      </w:r>
      <w:r>
        <w:rPr>
          <w:rFonts w:hint="eastAsia" w:ascii="宋体" w:hAnsi="宋体" w:eastAsia="宋体" w:cs="宋体"/>
          <w:b/>
          <w:color w:val="000000"/>
          <w:sz w:val="24"/>
          <w:szCs w:val="24"/>
          <w:lang w:bidi="en-US"/>
        </w:rPr>
        <w:t xml:space="preserve">  收款账户：</w:t>
      </w:r>
    </w:p>
    <w:p w14:paraId="4E6EB1CF">
      <w:pPr>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lang w:bidi="en-US"/>
        </w:rPr>
      </w:pPr>
      <w:r>
        <w:rPr>
          <w:rFonts w:hint="eastAsia" w:ascii="宋体" w:hAnsi="宋体" w:eastAsia="宋体" w:cs="宋体"/>
          <w:color w:val="000000"/>
          <w:sz w:val="24"/>
          <w:szCs w:val="24"/>
          <w:lang w:bidi="en-US"/>
        </w:rPr>
        <w:t xml:space="preserve">                                 </w:t>
      </w:r>
      <w:r>
        <w:rPr>
          <w:rFonts w:hint="eastAsia" w:ascii="宋体" w:hAnsi="宋体" w:eastAsia="宋体" w:cs="宋体"/>
          <w:b/>
          <w:color w:val="000000"/>
          <w:sz w:val="24"/>
          <w:szCs w:val="24"/>
          <w:lang w:bidi="en-US"/>
        </w:rPr>
        <w:t>收款账号：</w:t>
      </w:r>
    </w:p>
    <w:p w14:paraId="22CB65F0">
      <w:pPr>
        <w:keepNext w:val="0"/>
        <w:keepLines w:val="0"/>
        <w:pageBreakBefore w:val="0"/>
        <w:widowControl/>
        <w:kinsoku/>
        <w:wordWrap/>
        <w:overflowPunct/>
        <w:topLinePunct w:val="0"/>
        <w:bidi w:val="0"/>
        <w:adjustRightInd/>
        <w:snapToGrid/>
        <w:spacing w:before="0" w:after="0" w:line="360" w:lineRule="auto"/>
        <w:ind w:left="5693" w:hanging="5693" w:hangingChars="2363"/>
        <w:rPr>
          <w:rFonts w:hint="eastAsia" w:ascii="宋体" w:hAnsi="宋体" w:eastAsia="宋体" w:cs="宋体"/>
          <w:b/>
          <w:bCs/>
          <w:color w:val="000000"/>
          <w:sz w:val="24"/>
          <w:szCs w:val="24"/>
          <w:lang w:bidi="en-US"/>
        </w:rPr>
      </w:pPr>
      <w:r>
        <w:rPr>
          <w:rFonts w:hint="eastAsia" w:ascii="宋体" w:hAnsi="宋体" w:eastAsia="宋体" w:cs="宋体"/>
          <w:b/>
          <w:bCs/>
          <w:color w:val="000000"/>
          <w:sz w:val="24"/>
          <w:szCs w:val="24"/>
          <w:lang w:bidi="en-US"/>
        </w:rPr>
        <w:t>地址：</w:t>
      </w:r>
      <w:r>
        <w:rPr>
          <w:rFonts w:hint="eastAsia" w:ascii="宋体" w:hAnsi="宋体" w:eastAsia="宋体" w:cs="宋体"/>
          <w:color w:val="000000"/>
          <w:sz w:val="24"/>
          <w:szCs w:val="24"/>
          <w:lang w:bidi="en-US"/>
        </w:rPr>
        <w:t xml:space="preserve">西安市南大街粉巷30号          </w:t>
      </w:r>
      <w:r>
        <w:rPr>
          <w:rFonts w:hint="eastAsia" w:ascii="宋体" w:hAnsi="宋体" w:eastAsia="宋体" w:cs="宋体"/>
          <w:b/>
          <w:bCs/>
          <w:color w:val="000000"/>
          <w:sz w:val="24"/>
          <w:szCs w:val="24"/>
          <w:lang w:bidi="en-US"/>
        </w:rPr>
        <w:t>地址：</w:t>
      </w:r>
    </w:p>
    <w:p w14:paraId="6D10A88D">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color w:val="000000"/>
          <w:sz w:val="24"/>
          <w:szCs w:val="24"/>
          <w:lang w:bidi="en-US"/>
        </w:rPr>
      </w:pPr>
      <w:r>
        <w:rPr>
          <w:rFonts w:hint="eastAsia" w:ascii="宋体" w:hAnsi="宋体" w:eastAsia="宋体" w:cs="宋体"/>
          <w:b/>
          <w:bCs/>
          <w:color w:val="000000"/>
          <w:sz w:val="24"/>
          <w:szCs w:val="24"/>
          <w:lang w:bidi="en-US"/>
        </w:rPr>
        <w:t>邮政编码：</w:t>
      </w:r>
      <w:r>
        <w:rPr>
          <w:rFonts w:hint="eastAsia" w:ascii="宋体" w:hAnsi="宋体" w:eastAsia="宋体" w:cs="宋体"/>
          <w:color w:val="000000"/>
          <w:sz w:val="24"/>
          <w:szCs w:val="24"/>
          <w:lang w:bidi="en-US"/>
        </w:rPr>
        <w:t xml:space="preserve">710002                     </w:t>
      </w:r>
      <w:r>
        <w:rPr>
          <w:rFonts w:hint="eastAsia" w:ascii="宋体" w:hAnsi="宋体" w:eastAsia="宋体" w:cs="宋体"/>
          <w:b/>
          <w:bCs/>
          <w:color w:val="000000"/>
          <w:sz w:val="24"/>
          <w:szCs w:val="24"/>
          <w:lang w:bidi="en-US"/>
        </w:rPr>
        <w:t>邮政编码：</w:t>
      </w:r>
      <w:r>
        <w:rPr>
          <w:rFonts w:hint="eastAsia" w:ascii="宋体" w:hAnsi="宋体" w:eastAsia="宋体" w:cs="宋体"/>
          <w:color w:val="000000"/>
          <w:sz w:val="24"/>
          <w:szCs w:val="24"/>
          <w:lang w:bidi="en-US"/>
        </w:rPr>
        <w:t xml:space="preserve"> </w:t>
      </w:r>
    </w:p>
    <w:p w14:paraId="453EA624">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color w:val="000000"/>
          <w:sz w:val="24"/>
          <w:szCs w:val="24"/>
          <w:lang w:bidi="en-US"/>
        </w:rPr>
      </w:pPr>
      <w:r>
        <w:rPr>
          <w:rFonts w:hint="eastAsia" w:ascii="宋体" w:hAnsi="宋体" w:eastAsia="宋体" w:cs="宋体"/>
          <w:b/>
          <w:bCs/>
          <w:color w:val="000000"/>
          <w:sz w:val="24"/>
          <w:szCs w:val="24"/>
          <w:lang w:bidi="en-US"/>
        </w:rPr>
        <w:t>电话：</w:t>
      </w:r>
      <w:r>
        <w:rPr>
          <w:rFonts w:hint="eastAsia" w:ascii="宋体" w:hAnsi="宋体" w:eastAsia="宋体" w:cs="宋体"/>
          <w:color w:val="000000"/>
          <w:sz w:val="24"/>
          <w:szCs w:val="24"/>
          <w:lang w:bidi="en-US"/>
        </w:rPr>
        <w:t xml:space="preserve">029-87630929                   </w:t>
      </w:r>
      <w:r>
        <w:rPr>
          <w:rFonts w:hint="eastAsia" w:ascii="宋体" w:hAnsi="宋体" w:eastAsia="宋体" w:cs="宋体"/>
          <w:b/>
          <w:bCs/>
          <w:color w:val="000000"/>
          <w:sz w:val="24"/>
          <w:szCs w:val="24"/>
          <w:lang w:bidi="en-US"/>
        </w:rPr>
        <w:t>电话：</w:t>
      </w:r>
    </w:p>
    <w:p w14:paraId="252378FB">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color w:val="000000"/>
          <w:sz w:val="24"/>
          <w:szCs w:val="24"/>
          <w:lang w:bidi="en-US"/>
        </w:rPr>
      </w:pPr>
      <w:r>
        <w:rPr>
          <w:rFonts w:hint="eastAsia" w:ascii="宋体" w:hAnsi="宋体" w:eastAsia="宋体" w:cs="宋体"/>
          <w:color w:val="000000"/>
          <w:sz w:val="24"/>
          <w:szCs w:val="24"/>
          <w:lang w:bidi="en-US"/>
        </w:rPr>
        <w:t xml:space="preserve">                             </w:t>
      </w:r>
    </w:p>
    <w:p w14:paraId="70560BFA">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color w:val="000000"/>
          <w:sz w:val="24"/>
          <w:szCs w:val="24"/>
          <w:lang w:bidi="en-US"/>
        </w:rPr>
      </w:pPr>
      <w:r>
        <w:rPr>
          <w:rFonts w:hint="eastAsia" w:ascii="宋体" w:hAnsi="宋体" w:eastAsia="宋体" w:cs="宋体"/>
          <w:b/>
          <w:bCs/>
          <w:color w:val="000000"/>
          <w:sz w:val="24"/>
          <w:szCs w:val="24"/>
          <w:lang w:bidi="en-US"/>
        </w:rPr>
        <w:t>法定代表人（授权代表）：</w:t>
      </w:r>
      <w:r>
        <w:rPr>
          <w:rFonts w:hint="eastAsia" w:ascii="宋体" w:hAnsi="宋体" w:eastAsia="宋体" w:cs="宋体"/>
          <w:color w:val="000000"/>
          <w:sz w:val="24"/>
          <w:szCs w:val="24"/>
          <w:lang w:bidi="en-US"/>
        </w:rPr>
        <w:t xml:space="preserve">             </w:t>
      </w:r>
      <w:r>
        <w:rPr>
          <w:rFonts w:hint="eastAsia" w:ascii="宋体" w:hAnsi="宋体" w:eastAsia="宋体" w:cs="宋体"/>
          <w:b/>
          <w:bCs/>
          <w:color w:val="000000"/>
          <w:sz w:val="24"/>
          <w:szCs w:val="24"/>
          <w:lang w:bidi="en-US"/>
        </w:rPr>
        <w:t>法定代表人（授权代表）</w:t>
      </w:r>
      <w:r>
        <w:rPr>
          <w:rFonts w:hint="eastAsia" w:ascii="宋体" w:hAnsi="宋体" w:eastAsia="宋体" w:cs="宋体"/>
          <w:color w:val="000000"/>
          <w:sz w:val="24"/>
          <w:szCs w:val="24"/>
          <w:lang w:bidi="en-US"/>
        </w:rPr>
        <w:t>：</w:t>
      </w:r>
    </w:p>
    <w:p w14:paraId="0893B709">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color w:val="000000"/>
          <w:sz w:val="24"/>
          <w:szCs w:val="24"/>
          <w:lang w:bidi="en-US"/>
        </w:rPr>
      </w:pPr>
    </w:p>
    <w:p w14:paraId="4BD5FBDA">
      <w:pPr>
        <w:keepNext w:val="0"/>
        <w:keepLines w:val="0"/>
        <w:pageBreakBefore w:val="0"/>
        <w:widowControl/>
        <w:kinsoku/>
        <w:wordWrap/>
        <w:overflowPunct/>
        <w:topLinePunct w:val="0"/>
        <w:bidi w:val="0"/>
        <w:adjustRightInd/>
        <w:snapToGrid/>
        <w:spacing w:before="0" w:after="0" w:line="360" w:lineRule="auto"/>
        <w:ind w:firstLine="0"/>
        <w:rPr>
          <w:rFonts w:hint="eastAsia" w:ascii="宋体" w:hAnsi="宋体" w:eastAsia="宋体" w:cs="宋体"/>
          <w:color w:val="000000"/>
          <w:sz w:val="24"/>
          <w:szCs w:val="24"/>
          <w:lang w:bidi="en-US"/>
        </w:rPr>
      </w:pPr>
      <w:r>
        <w:rPr>
          <w:rFonts w:hint="eastAsia" w:ascii="宋体" w:hAnsi="宋体" w:eastAsia="宋体" w:cs="宋体"/>
          <w:b/>
          <w:bCs/>
          <w:color w:val="000000"/>
          <w:sz w:val="24"/>
          <w:szCs w:val="24"/>
          <w:lang w:bidi="en-US"/>
        </w:rPr>
        <w:t>签订日期：</w:t>
      </w:r>
      <w:r>
        <w:rPr>
          <w:rFonts w:hint="eastAsia" w:ascii="宋体" w:hAnsi="宋体" w:eastAsia="宋体" w:cs="宋体"/>
          <w:b/>
          <w:bCs/>
          <w:color w:val="000000"/>
          <w:sz w:val="24"/>
          <w:szCs w:val="24"/>
          <w:lang w:val="en-US" w:eastAsia="zh-CN" w:bidi="en-US"/>
        </w:rPr>
        <w:t xml:space="preserve">   </w:t>
      </w:r>
      <w:r>
        <w:rPr>
          <w:rFonts w:hint="eastAsia" w:ascii="宋体" w:hAnsi="宋体" w:eastAsia="宋体" w:cs="宋体"/>
          <w:color w:val="000000"/>
          <w:sz w:val="24"/>
          <w:szCs w:val="24"/>
          <w:lang w:bidi="en-US"/>
        </w:rPr>
        <w:t xml:space="preserve">年  月   日           </w:t>
      </w:r>
      <w:r>
        <w:rPr>
          <w:rFonts w:hint="eastAsia" w:ascii="宋体" w:hAnsi="宋体" w:eastAsia="宋体" w:cs="宋体"/>
          <w:b/>
          <w:bCs/>
          <w:color w:val="000000"/>
          <w:sz w:val="24"/>
          <w:szCs w:val="24"/>
          <w:lang w:bidi="en-US"/>
        </w:rPr>
        <w:t>签订日期：</w:t>
      </w:r>
      <w:r>
        <w:rPr>
          <w:rFonts w:hint="eastAsia" w:ascii="宋体" w:hAnsi="宋体" w:eastAsia="宋体" w:cs="宋体"/>
          <w:color w:val="000000"/>
          <w:sz w:val="24"/>
          <w:szCs w:val="24"/>
          <w:lang w:bidi="en-US"/>
        </w:rPr>
        <w:t xml:space="preserve">  年  月   日</w:t>
      </w:r>
    </w:p>
    <w:p w14:paraId="3CD58A95">
      <w:pPr>
        <w:keepNext w:val="0"/>
        <w:keepLines w:val="0"/>
        <w:pageBreakBefore w:val="0"/>
        <w:widowControl/>
        <w:kinsoku/>
        <w:wordWrap/>
        <w:overflowPunct/>
        <w:topLinePunct w:val="0"/>
        <w:autoSpaceDE w:val="0"/>
        <w:autoSpaceDN w:val="0"/>
        <w:bidi w:val="0"/>
        <w:adjustRightInd/>
        <w:snapToGrid/>
        <w:spacing w:before="0" w:after="0" w:line="360" w:lineRule="auto"/>
        <w:ind w:right="53" w:firstLine="0"/>
        <w:textAlignment w:val="bottom"/>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p w14:paraId="40DF450C">
      <w:pPr>
        <w:pStyle w:val="4"/>
        <w:keepNext w:val="0"/>
        <w:keepLines w:val="0"/>
        <w:pageBreakBefore w:val="0"/>
        <w:kinsoku/>
        <w:wordWrap/>
        <w:overflowPunct/>
        <w:topLinePunct w:val="0"/>
        <w:bidi w:val="0"/>
        <w:adjustRightInd/>
        <w:snapToGrid/>
        <w:spacing w:line="360" w:lineRule="auto"/>
        <w:rPr>
          <w:rFonts w:hint="eastAsia" w:ascii="宋体" w:hAnsi="宋体" w:eastAsia="宋体" w:cs="宋体"/>
          <w:color w:val="000000"/>
          <w:sz w:val="24"/>
          <w:szCs w:val="24"/>
        </w:rPr>
      </w:pPr>
    </w:p>
    <w:p w14:paraId="69C1C4D8">
      <w:pPr>
        <w:keepNext w:val="0"/>
        <w:keepLines w:val="0"/>
        <w:pageBreakBefore w:val="0"/>
        <w:kinsoku/>
        <w:wordWrap/>
        <w:overflowPunct/>
        <w:topLinePunct w:val="0"/>
        <w:bidi w:val="0"/>
        <w:adjustRightInd/>
        <w:snapToGrid/>
        <w:spacing w:before="0" w:after="0" w:line="360" w:lineRule="auto"/>
        <w:ind w:firstLine="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附件一：</w:t>
      </w:r>
      <w:r>
        <w:rPr>
          <w:rFonts w:hint="eastAsia" w:ascii="宋体" w:hAnsi="宋体" w:eastAsia="宋体" w:cs="宋体"/>
          <w:color w:val="000000"/>
          <w:kern w:val="2"/>
          <w:sz w:val="24"/>
          <w:szCs w:val="24"/>
          <w:lang w:eastAsia="zh-CN"/>
        </w:rPr>
        <w:t>计量器具</w:t>
      </w:r>
      <w:r>
        <w:rPr>
          <w:rFonts w:hint="eastAsia" w:ascii="宋体" w:hAnsi="宋体" w:eastAsia="宋体" w:cs="宋体"/>
          <w:color w:val="000000"/>
          <w:kern w:val="2"/>
          <w:sz w:val="24"/>
          <w:szCs w:val="24"/>
        </w:rPr>
        <w:t>清单</w:t>
      </w:r>
    </w:p>
    <w:p w14:paraId="5270BDCA">
      <w:pPr>
        <w:pStyle w:val="4"/>
        <w:keepNext w:val="0"/>
        <w:keepLines w:val="0"/>
        <w:pageBreakBefore w:val="0"/>
        <w:kinsoku/>
        <w:wordWrap/>
        <w:overflowPunct/>
        <w:topLinePunct w:val="0"/>
        <w:bidi w:val="0"/>
        <w:adjustRightInd/>
        <w:snapToGrid/>
        <w:spacing w:line="360" w:lineRule="auto"/>
        <w:ind w:firstLine="0"/>
        <w:rPr>
          <w:rFonts w:hint="eastAsia" w:ascii="宋体" w:hAnsi="宋体" w:eastAsia="宋体" w:cs="宋体"/>
          <w:color w:val="000000"/>
          <w:sz w:val="24"/>
          <w:szCs w:val="24"/>
        </w:rPr>
      </w:pPr>
    </w:p>
    <w:p w14:paraId="63BABFD6">
      <w:pPr>
        <w:keepNext w:val="0"/>
        <w:keepLines w:val="0"/>
        <w:pageBreakBefore w:val="0"/>
        <w:kinsoku/>
        <w:wordWrap/>
        <w:overflowPunct/>
        <w:topLinePunct w:val="0"/>
        <w:bidi w:val="0"/>
        <w:adjustRightInd/>
        <w:snapToGrid/>
        <w:spacing w:before="0" w:after="0" w:line="360" w:lineRule="auto"/>
        <w:ind w:firstLine="0"/>
        <w:rPr>
          <w:rFonts w:hint="eastAsia" w:ascii="宋体" w:hAnsi="宋体" w:eastAsia="宋体" w:cs="宋体"/>
          <w:color w:val="auto"/>
          <w:kern w:val="2"/>
          <w:sz w:val="24"/>
          <w:szCs w:val="24"/>
          <w:lang w:val="en-US" w:eastAsia="zh-CN"/>
        </w:rPr>
      </w:pPr>
      <w:r>
        <w:rPr>
          <w:rFonts w:hint="eastAsia" w:ascii="宋体" w:hAnsi="宋体" w:eastAsia="宋体" w:cs="宋体"/>
          <w:color w:val="000000"/>
          <w:kern w:val="2"/>
          <w:sz w:val="24"/>
          <w:szCs w:val="24"/>
        </w:rPr>
        <w:t>附件二：营业执照、授权委托书、受托人/法人身份证复印件</w:t>
      </w:r>
    </w:p>
    <w:p w14:paraId="6F546176"/>
    <w:sectPr>
      <w:head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13E4B">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07579">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1F5FEE"/>
    <w:rsid w:val="5D1F5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Cambria" w:hAnsi="Cambria"/>
      <w:b/>
      <w:bCs/>
      <w:kern w:val="0"/>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style>
  <w:style w:type="paragraph" w:styleId="4">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5">
    <w:name w:val="Body Text Indent"/>
    <w:basedOn w:val="1"/>
    <w:next w:val="1"/>
    <w:qFormat/>
    <w:uiPriority w:val="0"/>
    <w:pPr>
      <w:ind w:firstLine="552"/>
    </w:pPr>
    <w:rPr>
      <w:rFonts w:ascii="宋体"/>
      <w:sz w:val="2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Normal (Web)"/>
    <w:basedOn w:val="1"/>
    <w:qFormat/>
    <w:uiPriority w:val="0"/>
    <w:pPr>
      <w:spacing w:beforeAutospacing="1" w:afterAutospacing="1"/>
    </w:pPr>
    <w:rPr>
      <w:rFonts w:cs="Times New Roman"/>
      <w:sz w:val="24"/>
    </w:rPr>
  </w:style>
  <w:style w:type="paragraph" w:styleId="8">
    <w:name w:val="Body Text First Indent 2"/>
    <w:basedOn w:val="5"/>
    <w:next w:val="1"/>
    <w:qFormat/>
    <w:uiPriority w:val="0"/>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样式 首行缩进:  2 字符"/>
    <w:basedOn w:val="1"/>
    <w:qFormat/>
    <w:uiPriority w:val="0"/>
    <w:pPr>
      <w:spacing w:before="0" w:after="0" w:line="400" w:lineRule="exact"/>
      <w:ind w:firstLine="200" w:firstLineChars="200"/>
    </w:pPr>
    <w:rPr>
      <w:rFonts w:ascii="Times New Roman" w:hAnsi="Times New Roman" w:cs="宋体"/>
      <w:color w:val="auto"/>
      <w:kern w:val="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2026-04-09T08:56:00Z</dcterms:created>
  <dc:creator>WPS_1646906962</dc:creator>
  <cp:lastModifiedBy>WPS_1646906962</cp:lastModifiedBy>
  <dcterms:modified xsi:type="dcterms:W3CDTF">2026-04-09T08:57:38Z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AD590F2C9F5A471382E621D508ECD817_11</vt:lpwstr>
  </property>
  <property fmtid="{D5CDD505-2E9C-101B-9397-08002B2CF9AE}" pid="4" name="KSOTemplateDocerSaveRecord">
    <vt:lpwstr>eyJoZGlkIjoiYmFlMzhiZDNmYmJmZGRiZmViOTBlY2QzZmNjZjk0OTIiLCJ1c2VySWQiOiIxMzQzMTM0MTI0In0=</vt:lpwstr>
  </property>
</Properties>
</file>